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352D2A"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rsidR="00FF3BDA" w:rsidRPr="00990DDD" w:rsidRDefault="00FF3BDA" w:rsidP="00FF3BDA">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92249A" w:rsidRPr="003C4AB6" w:rsidRDefault="004E5C9C" w:rsidP="006A2DB8">
      <w:pPr>
        <w:spacing w:after="240"/>
        <w:jc w:val="center"/>
        <w:rPr>
          <w:b/>
          <w:sz w:val="28"/>
          <w:szCs w:val="28"/>
        </w:rPr>
      </w:pPr>
      <w:r>
        <w:rPr>
          <w:b/>
          <w:sz w:val="28"/>
          <w:szCs w:val="28"/>
        </w:rPr>
        <w:t>П</w:t>
      </w:r>
      <w:r w:rsidR="00EE3028" w:rsidRPr="003C4AB6">
        <w:rPr>
          <w:b/>
          <w:sz w:val="28"/>
          <w:szCs w:val="28"/>
        </w:rPr>
        <w:t>роцедура</w:t>
      </w:r>
      <w:r w:rsidR="006A2DB8" w:rsidRPr="003C4AB6">
        <w:rPr>
          <w:b/>
          <w:sz w:val="28"/>
          <w:szCs w:val="28"/>
        </w:rPr>
        <w:t xml:space="preserve"> на подбор</w:t>
      </w:r>
      <w:r w:rsidR="004D2228" w:rsidRPr="003C4AB6">
        <w:rPr>
          <w:b/>
          <w:sz w:val="28"/>
          <w:szCs w:val="28"/>
        </w:rPr>
        <w:t xml:space="preserve"> </w:t>
      </w:r>
      <w:r w:rsidR="007D7102" w:rsidRPr="003C4AB6">
        <w:rPr>
          <w:b/>
          <w:sz w:val="28"/>
          <w:szCs w:val="28"/>
        </w:rPr>
        <w:t xml:space="preserve">на проекти </w:t>
      </w:r>
    </w:p>
    <w:p w:rsidR="00F759D6" w:rsidRPr="003C4AB6" w:rsidRDefault="002A2065" w:rsidP="006A2DB8">
      <w:pPr>
        <w:spacing w:after="240"/>
        <w:jc w:val="center"/>
        <w:rPr>
          <w:b/>
          <w:sz w:val="28"/>
          <w:szCs w:val="28"/>
        </w:rPr>
      </w:pPr>
      <w:r>
        <w:rPr>
          <w:b/>
          <w:sz w:val="28"/>
          <w:szCs w:val="28"/>
        </w:rPr>
        <w:t>BG16RFOP002-1.</w:t>
      </w:r>
      <w:r w:rsidRPr="002A2065">
        <w:rPr>
          <w:b/>
          <w:sz w:val="28"/>
          <w:szCs w:val="28"/>
        </w:rPr>
        <w:t>00</w:t>
      </w:r>
      <w:r w:rsidRPr="002A2065">
        <w:rPr>
          <w:b/>
          <w:sz w:val="28"/>
          <w:szCs w:val="28"/>
          <w:lang w:val="en-US"/>
        </w:rPr>
        <w:t xml:space="preserve">2 </w:t>
      </w:r>
      <w:r w:rsidR="0054488B" w:rsidRPr="002A2065">
        <w:rPr>
          <w:b/>
          <w:sz w:val="28"/>
          <w:szCs w:val="28"/>
        </w:rPr>
        <w:t xml:space="preserve">„Подкрепа за </w:t>
      </w:r>
      <w:r w:rsidR="00B7781A" w:rsidRPr="002A2065">
        <w:rPr>
          <w:b/>
          <w:sz w:val="28"/>
          <w:szCs w:val="28"/>
        </w:rPr>
        <w:t>разработване на иновации от стартиращи предприятия</w:t>
      </w:r>
      <w:r w:rsidR="004340B3" w:rsidRPr="002A2065">
        <w:rPr>
          <w:b/>
          <w:sz w:val="28"/>
          <w:szCs w:val="28"/>
        </w:rPr>
        <w:t>“</w:t>
      </w:r>
    </w:p>
    <w:p w:rsidR="007D7102" w:rsidRPr="003C4AB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3C4AB6" w:rsidRDefault="005C1072" w:rsidP="00B057AE">
          <w:pPr>
            <w:pStyle w:val="TOCHeading"/>
          </w:pPr>
          <w:r w:rsidRPr="003C4AB6">
            <w:t>Съдържание</w:t>
          </w:r>
        </w:p>
        <w:p w:rsidR="003E405B" w:rsidRDefault="005C1072">
          <w:pPr>
            <w:pStyle w:val="TOC2"/>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42298704" w:history="1">
            <w:r w:rsidR="003E405B" w:rsidRPr="00A86AD5">
              <w:rPr>
                <w:rStyle w:val="Hyperlink"/>
                <w:noProof/>
              </w:rPr>
              <w:t>1. Наименование на програмата:</w:t>
            </w:r>
            <w:r w:rsidR="003E405B">
              <w:rPr>
                <w:noProof/>
                <w:webHidden/>
              </w:rPr>
              <w:tab/>
            </w:r>
            <w:r w:rsidR="003E405B">
              <w:rPr>
                <w:noProof/>
                <w:webHidden/>
              </w:rPr>
              <w:fldChar w:fldCharType="begin"/>
            </w:r>
            <w:r w:rsidR="003E405B">
              <w:rPr>
                <w:noProof/>
                <w:webHidden/>
              </w:rPr>
              <w:instrText xml:space="preserve"> PAGEREF _Toc442298704 \h </w:instrText>
            </w:r>
            <w:r w:rsidR="003E405B">
              <w:rPr>
                <w:noProof/>
                <w:webHidden/>
              </w:rPr>
            </w:r>
            <w:r w:rsidR="003E405B">
              <w:rPr>
                <w:noProof/>
                <w:webHidden/>
              </w:rPr>
              <w:fldChar w:fldCharType="separate"/>
            </w:r>
            <w:r w:rsidR="003E405B">
              <w:rPr>
                <w:noProof/>
                <w:webHidden/>
              </w:rPr>
              <w:t>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05" w:history="1">
            <w:r w:rsidR="003E405B" w:rsidRPr="00A86AD5">
              <w:rPr>
                <w:rStyle w:val="Hyperlink"/>
                <w:noProof/>
              </w:rPr>
              <w:t>2. Наименование на приоритетната ос:</w:t>
            </w:r>
            <w:r w:rsidR="003E405B">
              <w:rPr>
                <w:noProof/>
                <w:webHidden/>
              </w:rPr>
              <w:tab/>
            </w:r>
            <w:r w:rsidR="003E405B">
              <w:rPr>
                <w:noProof/>
                <w:webHidden/>
              </w:rPr>
              <w:fldChar w:fldCharType="begin"/>
            </w:r>
            <w:r w:rsidR="003E405B">
              <w:rPr>
                <w:noProof/>
                <w:webHidden/>
              </w:rPr>
              <w:instrText xml:space="preserve"> PAGEREF _Toc442298705 \h </w:instrText>
            </w:r>
            <w:r w:rsidR="003E405B">
              <w:rPr>
                <w:noProof/>
                <w:webHidden/>
              </w:rPr>
            </w:r>
            <w:r w:rsidR="003E405B">
              <w:rPr>
                <w:noProof/>
                <w:webHidden/>
              </w:rPr>
              <w:fldChar w:fldCharType="separate"/>
            </w:r>
            <w:r w:rsidR="003E405B">
              <w:rPr>
                <w:noProof/>
                <w:webHidden/>
              </w:rPr>
              <w:t>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06" w:history="1">
            <w:r w:rsidR="003E405B" w:rsidRPr="00A86AD5">
              <w:rPr>
                <w:rStyle w:val="Hyperlink"/>
                <w:noProof/>
              </w:rPr>
              <w:t>3. Наименование на процедурата:</w:t>
            </w:r>
            <w:r w:rsidR="003E405B">
              <w:rPr>
                <w:noProof/>
                <w:webHidden/>
              </w:rPr>
              <w:tab/>
            </w:r>
            <w:r w:rsidR="003E405B">
              <w:rPr>
                <w:noProof/>
                <w:webHidden/>
              </w:rPr>
              <w:fldChar w:fldCharType="begin"/>
            </w:r>
            <w:r w:rsidR="003E405B">
              <w:rPr>
                <w:noProof/>
                <w:webHidden/>
              </w:rPr>
              <w:instrText xml:space="preserve"> PAGEREF _Toc442298706 \h </w:instrText>
            </w:r>
            <w:r w:rsidR="003E405B">
              <w:rPr>
                <w:noProof/>
                <w:webHidden/>
              </w:rPr>
            </w:r>
            <w:r w:rsidR="003E405B">
              <w:rPr>
                <w:noProof/>
                <w:webHidden/>
              </w:rPr>
              <w:fldChar w:fldCharType="separate"/>
            </w:r>
            <w:r w:rsidR="003E405B">
              <w:rPr>
                <w:noProof/>
                <w:webHidden/>
              </w:rPr>
              <w:t>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07" w:history="1">
            <w:r w:rsidR="003E405B" w:rsidRPr="00A86AD5">
              <w:rPr>
                <w:rStyle w:val="Hyperlink"/>
                <w:noProof/>
              </w:rPr>
              <w:t>4. Измерения по кодове:</w:t>
            </w:r>
            <w:r w:rsidR="003E405B">
              <w:rPr>
                <w:noProof/>
                <w:webHidden/>
              </w:rPr>
              <w:tab/>
            </w:r>
            <w:r w:rsidR="003E405B">
              <w:rPr>
                <w:noProof/>
                <w:webHidden/>
              </w:rPr>
              <w:fldChar w:fldCharType="begin"/>
            </w:r>
            <w:r w:rsidR="003E405B">
              <w:rPr>
                <w:noProof/>
                <w:webHidden/>
              </w:rPr>
              <w:instrText xml:space="preserve"> PAGEREF _Toc442298707 \h </w:instrText>
            </w:r>
            <w:r w:rsidR="003E405B">
              <w:rPr>
                <w:noProof/>
                <w:webHidden/>
              </w:rPr>
            </w:r>
            <w:r w:rsidR="003E405B">
              <w:rPr>
                <w:noProof/>
                <w:webHidden/>
              </w:rPr>
              <w:fldChar w:fldCharType="separate"/>
            </w:r>
            <w:r w:rsidR="003E405B">
              <w:rPr>
                <w:noProof/>
                <w:webHidden/>
              </w:rPr>
              <w:t>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08" w:history="1">
            <w:r w:rsidR="003E405B" w:rsidRPr="00A86AD5">
              <w:rPr>
                <w:rStyle w:val="Hyperlink"/>
                <w:noProof/>
              </w:rPr>
              <w:t>5. Териториален обхват:</w:t>
            </w:r>
            <w:r w:rsidR="003E405B">
              <w:rPr>
                <w:noProof/>
                <w:webHidden/>
              </w:rPr>
              <w:tab/>
            </w:r>
            <w:r w:rsidR="003E405B">
              <w:rPr>
                <w:noProof/>
                <w:webHidden/>
              </w:rPr>
              <w:fldChar w:fldCharType="begin"/>
            </w:r>
            <w:r w:rsidR="003E405B">
              <w:rPr>
                <w:noProof/>
                <w:webHidden/>
              </w:rPr>
              <w:instrText xml:space="preserve"> PAGEREF _Toc442298708 \h </w:instrText>
            </w:r>
            <w:r w:rsidR="003E405B">
              <w:rPr>
                <w:noProof/>
                <w:webHidden/>
              </w:rPr>
            </w:r>
            <w:r w:rsidR="003E405B">
              <w:rPr>
                <w:noProof/>
                <w:webHidden/>
              </w:rPr>
              <w:fldChar w:fldCharType="separate"/>
            </w:r>
            <w:r w:rsidR="003E405B">
              <w:rPr>
                <w:noProof/>
                <w:webHidden/>
              </w:rPr>
              <w:t>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09" w:history="1">
            <w:r w:rsidR="003E405B" w:rsidRPr="00A86AD5">
              <w:rPr>
                <w:rStyle w:val="Hyperlink"/>
                <w:noProof/>
              </w:rPr>
              <w:t xml:space="preserve">6. Цели на предоставяната </w:t>
            </w:r>
            <w:r w:rsidR="003E405B" w:rsidRPr="00A86AD5">
              <w:rPr>
                <w:rStyle w:val="Hyperlink"/>
                <w:rFonts w:ascii="Calibri" w:eastAsia="Calibri" w:hAnsi="Calibri" w:cs="Times New Roman"/>
                <w:noProof/>
              </w:rPr>
              <w:t>безвъзмездна финансова помощ</w:t>
            </w:r>
            <w:r w:rsidR="003E405B" w:rsidRPr="00A86AD5">
              <w:rPr>
                <w:rStyle w:val="Hyperlink"/>
                <w:noProof/>
              </w:rPr>
              <w:t xml:space="preserve"> по процедурата и очаквани резултати:</w:t>
            </w:r>
            <w:r w:rsidR="003E405B">
              <w:rPr>
                <w:noProof/>
                <w:webHidden/>
              </w:rPr>
              <w:tab/>
            </w:r>
            <w:r w:rsidR="003E405B">
              <w:rPr>
                <w:noProof/>
                <w:webHidden/>
              </w:rPr>
              <w:fldChar w:fldCharType="begin"/>
            </w:r>
            <w:r w:rsidR="003E405B">
              <w:rPr>
                <w:noProof/>
                <w:webHidden/>
              </w:rPr>
              <w:instrText xml:space="preserve"> PAGEREF _Toc442298709 \h </w:instrText>
            </w:r>
            <w:r w:rsidR="003E405B">
              <w:rPr>
                <w:noProof/>
                <w:webHidden/>
              </w:rPr>
            </w:r>
            <w:r w:rsidR="003E405B">
              <w:rPr>
                <w:noProof/>
                <w:webHidden/>
              </w:rPr>
              <w:fldChar w:fldCharType="separate"/>
            </w:r>
            <w:r w:rsidR="003E405B">
              <w:rPr>
                <w:noProof/>
                <w:webHidden/>
              </w:rPr>
              <w:t>4</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0" w:history="1">
            <w:r w:rsidR="003E405B" w:rsidRPr="00A86AD5">
              <w:rPr>
                <w:rStyle w:val="Hyperlink"/>
                <w:noProof/>
              </w:rPr>
              <w:t>7. Индикатори:</w:t>
            </w:r>
            <w:r w:rsidR="003E405B">
              <w:rPr>
                <w:noProof/>
                <w:webHidden/>
              </w:rPr>
              <w:tab/>
            </w:r>
            <w:r w:rsidR="003E405B">
              <w:rPr>
                <w:noProof/>
                <w:webHidden/>
              </w:rPr>
              <w:fldChar w:fldCharType="begin"/>
            </w:r>
            <w:r w:rsidR="003E405B">
              <w:rPr>
                <w:noProof/>
                <w:webHidden/>
              </w:rPr>
              <w:instrText xml:space="preserve"> PAGEREF _Toc442298710 \h </w:instrText>
            </w:r>
            <w:r w:rsidR="003E405B">
              <w:rPr>
                <w:noProof/>
                <w:webHidden/>
              </w:rPr>
            </w:r>
            <w:r w:rsidR="003E405B">
              <w:rPr>
                <w:noProof/>
                <w:webHidden/>
              </w:rPr>
              <w:fldChar w:fldCharType="separate"/>
            </w:r>
            <w:r w:rsidR="003E405B">
              <w:rPr>
                <w:noProof/>
                <w:webHidden/>
              </w:rPr>
              <w:t>5</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1" w:history="1">
            <w:r w:rsidR="003E405B" w:rsidRPr="00A86AD5">
              <w:rPr>
                <w:rStyle w:val="Hyperlink"/>
                <w:noProof/>
              </w:rPr>
              <w:t>8. Общ размер на безвъзмездната финансова помощ по процедурата:</w:t>
            </w:r>
            <w:r w:rsidR="003E405B">
              <w:rPr>
                <w:noProof/>
                <w:webHidden/>
              </w:rPr>
              <w:tab/>
            </w:r>
            <w:r w:rsidR="003E405B">
              <w:rPr>
                <w:noProof/>
                <w:webHidden/>
              </w:rPr>
              <w:fldChar w:fldCharType="begin"/>
            </w:r>
            <w:r w:rsidR="003E405B">
              <w:rPr>
                <w:noProof/>
                <w:webHidden/>
              </w:rPr>
              <w:instrText xml:space="preserve"> PAGEREF _Toc442298711 \h </w:instrText>
            </w:r>
            <w:r w:rsidR="003E405B">
              <w:rPr>
                <w:noProof/>
                <w:webHidden/>
              </w:rPr>
            </w:r>
            <w:r w:rsidR="003E405B">
              <w:rPr>
                <w:noProof/>
                <w:webHidden/>
              </w:rPr>
              <w:fldChar w:fldCharType="separate"/>
            </w:r>
            <w:r w:rsidR="003E405B">
              <w:rPr>
                <w:noProof/>
                <w:webHidden/>
              </w:rPr>
              <w:t>6</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2" w:history="1">
            <w:r w:rsidR="003E405B" w:rsidRPr="00A86AD5">
              <w:rPr>
                <w:rStyle w:val="Hyperlink"/>
                <w:noProof/>
              </w:rPr>
              <w:t>9. Минимален и максимален размер на безвъзмездната финансова помощ за конкретен проект:</w:t>
            </w:r>
            <w:r w:rsidR="003E405B">
              <w:rPr>
                <w:noProof/>
                <w:webHidden/>
              </w:rPr>
              <w:tab/>
            </w:r>
            <w:r w:rsidR="003E405B">
              <w:rPr>
                <w:noProof/>
                <w:webHidden/>
              </w:rPr>
              <w:fldChar w:fldCharType="begin"/>
            </w:r>
            <w:r w:rsidR="003E405B">
              <w:rPr>
                <w:noProof/>
                <w:webHidden/>
              </w:rPr>
              <w:instrText xml:space="preserve"> PAGEREF _Toc442298712 \h </w:instrText>
            </w:r>
            <w:r w:rsidR="003E405B">
              <w:rPr>
                <w:noProof/>
                <w:webHidden/>
              </w:rPr>
            </w:r>
            <w:r w:rsidR="003E405B">
              <w:rPr>
                <w:noProof/>
                <w:webHidden/>
              </w:rPr>
              <w:fldChar w:fldCharType="separate"/>
            </w:r>
            <w:r w:rsidR="003E405B">
              <w:rPr>
                <w:noProof/>
                <w:webHidden/>
              </w:rPr>
              <w:t>6</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3" w:history="1">
            <w:r w:rsidR="003E405B" w:rsidRPr="00A86AD5">
              <w:rPr>
                <w:rStyle w:val="Hyperlink"/>
                <w:noProof/>
              </w:rPr>
              <w:t>10. Процент на съфинансиране</w:t>
            </w:r>
            <w:r w:rsidR="003E405B">
              <w:rPr>
                <w:noProof/>
                <w:webHidden/>
              </w:rPr>
              <w:tab/>
            </w:r>
            <w:r w:rsidR="003E405B">
              <w:rPr>
                <w:noProof/>
                <w:webHidden/>
              </w:rPr>
              <w:fldChar w:fldCharType="begin"/>
            </w:r>
            <w:r w:rsidR="003E405B">
              <w:rPr>
                <w:noProof/>
                <w:webHidden/>
              </w:rPr>
              <w:instrText xml:space="preserve"> PAGEREF _Toc442298713 \h </w:instrText>
            </w:r>
            <w:r w:rsidR="003E405B">
              <w:rPr>
                <w:noProof/>
                <w:webHidden/>
              </w:rPr>
            </w:r>
            <w:r w:rsidR="003E405B">
              <w:rPr>
                <w:noProof/>
                <w:webHidden/>
              </w:rPr>
              <w:fldChar w:fldCharType="separate"/>
            </w:r>
            <w:r w:rsidR="003E405B">
              <w:rPr>
                <w:noProof/>
                <w:webHidden/>
              </w:rPr>
              <w:t>7</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4" w:history="1">
            <w:r w:rsidR="003E405B" w:rsidRPr="00A86AD5">
              <w:rPr>
                <w:rStyle w:val="Hyperlink"/>
                <w:noProof/>
              </w:rPr>
              <w:t>11. Допустими кандидати:</w:t>
            </w:r>
            <w:r w:rsidR="003E405B">
              <w:rPr>
                <w:noProof/>
                <w:webHidden/>
              </w:rPr>
              <w:tab/>
            </w:r>
            <w:r w:rsidR="003E405B">
              <w:rPr>
                <w:noProof/>
                <w:webHidden/>
              </w:rPr>
              <w:fldChar w:fldCharType="begin"/>
            </w:r>
            <w:r w:rsidR="003E405B">
              <w:rPr>
                <w:noProof/>
                <w:webHidden/>
              </w:rPr>
              <w:instrText xml:space="preserve"> PAGEREF _Toc442298714 \h </w:instrText>
            </w:r>
            <w:r w:rsidR="003E405B">
              <w:rPr>
                <w:noProof/>
                <w:webHidden/>
              </w:rPr>
            </w:r>
            <w:r w:rsidR="003E405B">
              <w:rPr>
                <w:noProof/>
                <w:webHidden/>
              </w:rPr>
              <w:fldChar w:fldCharType="separate"/>
            </w:r>
            <w:r w:rsidR="003E405B">
              <w:rPr>
                <w:noProof/>
                <w:webHidden/>
              </w:rPr>
              <w:t>8</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15" w:history="1">
            <w:r w:rsidR="003E405B" w:rsidRPr="00A86AD5">
              <w:rPr>
                <w:rStyle w:val="Hyperlink"/>
                <w:noProof/>
              </w:rPr>
              <w:t>11.1 Критерии за допустимост на кандидатите</w:t>
            </w:r>
            <w:r w:rsidR="003E405B">
              <w:rPr>
                <w:noProof/>
                <w:webHidden/>
              </w:rPr>
              <w:tab/>
            </w:r>
            <w:r w:rsidR="003E405B">
              <w:rPr>
                <w:noProof/>
                <w:webHidden/>
              </w:rPr>
              <w:fldChar w:fldCharType="begin"/>
            </w:r>
            <w:r w:rsidR="003E405B">
              <w:rPr>
                <w:noProof/>
                <w:webHidden/>
              </w:rPr>
              <w:instrText xml:space="preserve"> PAGEREF _Toc442298715 \h </w:instrText>
            </w:r>
            <w:r w:rsidR="003E405B">
              <w:rPr>
                <w:noProof/>
                <w:webHidden/>
              </w:rPr>
            </w:r>
            <w:r w:rsidR="003E405B">
              <w:rPr>
                <w:noProof/>
                <w:webHidden/>
              </w:rPr>
              <w:fldChar w:fldCharType="separate"/>
            </w:r>
            <w:r w:rsidR="003E405B">
              <w:rPr>
                <w:noProof/>
                <w:webHidden/>
              </w:rPr>
              <w:t>8</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16" w:history="1">
            <w:r w:rsidR="003E405B" w:rsidRPr="00A86AD5">
              <w:rPr>
                <w:rStyle w:val="Hyperlink"/>
                <w:noProof/>
              </w:rPr>
              <w:t>11.2 Критерии за недопустимост на кандидатите</w:t>
            </w:r>
            <w:r w:rsidR="003E405B">
              <w:rPr>
                <w:noProof/>
                <w:webHidden/>
              </w:rPr>
              <w:tab/>
            </w:r>
            <w:r w:rsidR="003E405B">
              <w:rPr>
                <w:noProof/>
                <w:webHidden/>
              </w:rPr>
              <w:fldChar w:fldCharType="begin"/>
            </w:r>
            <w:r w:rsidR="003E405B">
              <w:rPr>
                <w:noProof/>
                <w:webHidden/>
              </w:rPr>
              <w:instrText xml:space="preserve"> PAGEREF _Toc442298716 \h </w:instrText>
            </w:r>
            <w:r w:rsidR="003E405B">
              <w:rPr>
                <w:noProof/>
                <w:webHidden/>
              </w:rPr>
            </w:r>
            <w:r w:rsidR="003E405B">
              <w:rPr>
                <w:noProof/>
                <w:webHidden/>
              </w:rPr>
              <w:fldChar w:fldCharType="separate"/>
            </w:r>
            <w:r w:rsidR="003E405B">
              <w:rPr>
                <w:noProof/>
                <w:webHidden/>
              </w:rPr>
              <w:t>9</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7" w:history="1">
            <w:r w:rsidR="003E405B" w:rsidRPr="00A86AD5">
              <w:rPr>
                <w:rStyle w:val="Hyperlink"/>
                <w:noProof/>
              </w:rPr>
              <w:t>12. Допустими партньори:</w:t>
            </w:r>
            <w:r w:rsidR="003E405B">
              <w:rPr>
                <w:noProof/>
                <w:webHidden/>
              </w:rPr>
              <w:tab/>
            </w:r>
            <w:r w:rsidR="003E405B">
              <w:rPr>
                <w:noProof/>
                <w:webHidden/>
              </w:rPr>
              <w:fldChar w:fldCharType="begin"/>
            </w:r>
            <w:r w:rsidR="003E405B">
              <w:rPr>
                <w:noProof/>
                <w:webHidden/>
              </w:rPr>
              <w:instrText xml:space="preserve"> PAGEREF _Toc442298717 \h </w:instrText>
            </w:r>
            <w:r w:rsidR="003E405B">
              <w:rPr>
                <w:noProof/>
                <w:webHidden/>
              </w:rPr>
            </w:r>
            <w:r w:rsidR="003E405B">
              <w:rPr>
                <w:noProof/>
                <w:webHidden/>
              </w:rPr>
              <w:fldChar w:fldCharType="separate"/>
            </w:r>
            <w:r w:rsidR="003E405B">
              <w:rPr>
                <w:noProof/>
                <w:webHidden/>
              </w:rPr>
              <w:t>13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18" w:history="1">
            <w:r w:rsidR="003E405B" w:rsidRPr="00A86AD5">
              <w:rPr>
                <w:rStyle w:val="Hyperlink"/>
                <w:noProof/>
              </w:rPr>
              <w:t>13. Дейности, допустими за финансиране:</w:t>
            </w:r>
            <w:r w:rsidR="003E405B">
              <w:rPr>
                <w:noProof/>
                <w:webHidden/>
              </w:rPr>
              <w:tab/>
            </w:r>
            <w:r w:rsidR="003E405B">
              <w:rPr>
                <w:noProof/>
                <w:webHidden/>
              </w:rPr>
              <w:fldChar w:fldCharType="begin"/>
            </w:r>
            <w:r w:rsidR="003E405B">
              <w:rPr>
                <w:noProof/>
                <w:webHidden/>
              </w:rPr>
              <w:instrText xml:space="preserve"> PAGEREF _Toc442298718 \h </w:instrText>
            </w:r>
            <w:r w:rsidR="003E405B">
              <w:rPr>
                <w:noProof/>
                <w:webHidden/>
              </w:rPr>
            </w:r>
            <w:r w:rsidR="003E405B">
              <w:rPr>
                <w:noProof/>
                <w:webHidden/>
              </w:rPr>
              <w:fldChar w:fldCharType="separate"/>
            </w:r>
            <w:r w:rsidR="003E405B">
              <w:rPr>
                <w:noProof/>
                <w:webHidden/>
              </w:rPr>
              <w:t>13</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19" w:history="1">
            <w:r w:rsidR="003E405B" w:rsidRPr="00A86AD5">
              <w:rPr>
                <w:rStyle w:val="Hyperlink"/>
                <w:noProof/>
              </w:rPr>
              <w:t>13.1. Допустими дейности</w:t>
            </w:r>
            <w:r w:rsidR="003E405B">
              <w:rPr>
                <w:noProof/>
                <w:webHidden/>
              </w:rPr>
              <w:tab/>
            </w:r>
            <w:r w:rsidR="003E405B">
              <w:rPr>
                <w:noProof/>
                <w:webHidden/>
              </w:rPr>
              <w:fldChar w:fldCharType="begin"/>
            </w:r>
            <w:r w:rsidR="003E405B">
              <w:rPr>
                <w:noProof/>
                <w:webHidden/>
              </w:rPr>
              <w:instrText xml:space="preserve"> PAGEREF _Toc442298719 \h </w:instrText>
            </w:r>
            <w:r w:rsidR="003E405B">
              <w:rPr>
                <w:noProof/>
                <w:webHidden/>
              </w:rPr>
            </w:r>
            <w:r w:rsidR="003E405B">
              <w:rPr>
                <w:noProof/>
                <w:webHidden/>
              </w:rPr>
              <w:fldChar w:fldCharType="separate"/>
            </w:r>
            <w:r w:rsidR="003E405B">
              <w:rPr>
                <w:noProof/>
                <w:webHidden/>
              </w:rPr>
              <w:t>13</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20" w:history="1">
            <w:r w:rsidR="003E405B" w:rsidRPr="00A86AD5">
              <w:rPr>
                <w:rStyle w:val="Hyperlink"/>
                <w:noProof/>
              </w:rPr>
              <w:t>13.2. Недопустими дейности</w:t>
            </w:r>
            <w:r w:rsidR="003E405B">
              <w:rPr>
                <w:noProof/>
                <w:webHidden/>
              </w:rPr>
              <w:tab/>
            </w:r>
            <w:r w:rsidR="003E405B">
              <w:rPr>
                <w:noProof/>
                <w:webHidden/>
              </w:rPr>
              <w:fldChar w:fldCharType="begin"/>
            </w:r>
            <w:r w:rsidR="003E405B">
              <w:rPr>
                <w:noProof/>
                <w:webHidden/>
              </w:rPr>
              <w:instrText xml:space="preserve"> PAGEREF _Toc442298720 \h </w:instrText>
            </w:r>
            <w:r w:rsidR="003E405B">
              <w:rPr>
                <w:noProof/>
                <w:webHidden/>
              </w:rPr>
            </w:r>
            <w:r w:rsidR="003E405B">
              <w:rPr>
                <w:noProof/>
                <w:webHidden/>
              </w:rPr>
              <w:fldChar w:fldCharType="separate"/>
            </w:r>
            <w:r w:rsidR="003E405B">
              <w:rPr>
                <w:noProof/>
                <w:webHidden/>
              </w:rPr>
              <w:t>18</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1" w:history="1">
            <w:r w:rsidR="003E405B" w:rsidRPr="00A86AD5">
              <w:rPr>
                <w:rStyle w:val="Hyperlink"/>
                <w:noProof/>
              </w:rPr>
              <w:t>14. Категории разходи, допустими за финансиране:</w:t>
            </w:r>
            <w:r w:rsidR="003E405B">
              <w:rPr>
                <w:noProof/>
                <w:webHidden/>
              </w:rPr>
              <w:tab/>
            </w:r>
            <w:r w:rsidR="003E405B">
              <w:rPr>
                <w:noProof/>
                <w:webHidden/>
              </w:rPr>
              <w:fldChar w:fldCharType="begin"/>
            </w:r>
            <w:r w:rsidR="003E405B">
              <w:rPr>
                <w:noProof/>
                <w:webHidden/>
              </w:rPr>
              <w:instrText xml:space="preserve"> PAGEREF _Toc442298721 \h </w:instrText>
            </w:r>
            <w:r w:rsidR="003E405B">
              <w:rPr>
                <w:noProof/>
                <w:webHidden/>
              </w:rPr>
            </w:r>
            <w:r w:rsidR="003E405B">
              <w:rPr>
                <w:noProof/>
                <w:webHidden/>
              </w:rPr>
              <w:fldChar w:fldCharType="separate"/>
            </w:r>
            <w:r w:rsidR="003E405B">
              <w:rPr>
                <w:noProof/>
                <w:webHidden/>
              </w:rPr>
              <w:t>19</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22" w:history="1">
            <w:r w:rsidR="003E405B" w:rsidRPr="00A86AD5">
              <w:rPr>
                <w:rStyle w:val="Hyperlink"/>
                <w:noProof/>
              </w:rPr>
              <w:t>14.1. Условия за допустимост на разходите</w:t>
            </w:r>
            <w:r w:rsidR="003E405B">
              <w:rPr>
                <w:noProof/>
                <w:webHidden/>
              </w:rPr>
              <w:tab/>
            </w:r>
            <w:r w:rsidR="003E405B">
              <w:rPr>
                <w:noProof/>
                <w:webHidden/>
              </w:rPr>
              <w:fldChar w:fldCharType="begin"/>
            </w:r>
            <w:r w:rsidR="003E405B">
              <w:rPr>
                <w:noProof/>
                <w:webHidden/>
              </w:rPr>
              <w:instrText xml:space="preserve"> PAGEREF _Toc442298722 \h </w:instrText>
            </w:r>
            <w:r w:rsidR="003E405B">
              <w:rPr>
                <w:noProof/>
                <w:webHidden/>
              </w:rPr>
            </w:r>
            <w:r w:rsidR="003E405B">
              <w:rPr>
                <w:noProof/>
                <w:webHidden/>
              </w:rPr>
              <w:fldChar w:fldCharType="separate"/>
            </w:r>
            <w:r w:rsidR="003E405B">
              <w:rPr>
                <w:noProof/>
                <w:webHidden/>
              </w:rPr>
              <w:t>20</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23" w:history="1">
            <w:r w:rsidR="003E405B" w:rsidRPr="00A86AD5">
              <w:rPr>
                <w:rStyle w:val="Hyperlink"/>
                <w:noProof/>
              </w:rPr>
              <w:t>14.2. Допустими разходи</w:t>
            </w:r>
            <w:r w:rsidR="003E405B">
              <w:rPr>
                <w:noProof/>
                <w:webHidden/>
              </w:rPr>
              <w:tab/>
            </w:r>
            <w:r w:rsidR="003E405B">
              <w:rPr>
                <w:noProof/>
                <w:webHidden/>
              </w:rPr>
              <w:fldChar w:fldCharType="begin"/>
            </w:r>
            <w:r w:rsidR="003E405B">
              <w:rPr>
                <w:noProof/>
                <w:webHidden/>
              </w:rPr>
              <w:instrText xml:space="preserve"> PAGEREF _Toc442298723 \h </w:instrText>
            </w:r>
            <w:r w:rsidR="003E405B">
              <w:rPr>
                <w:noProof/>
                <w:webHidden/>
              </w:rPr>
            </w:r>
            <w:r w:rsidR="003E405B">
              <w:rPr>
                <w:noProof/>
                <w:webHidden/>
              </w:rPr>
              <w:fldChar w:fldCharType="separate"/>
            </w:r>
            <w:r w:rsidR="003E405B">
              <w:rPr>
                <w:noProof/>
                <w:webHidden/>
              </w:rPr>
              <w:t>22</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24" w:history="1">
            <w:r w:rsidR="003E405B" w:rsidRPr="00A86AD5">
              <w:rPr>
                <w:rStyle w:val="Hyperlink"/>
                <w:noProof/>
              </w:rPr>
              <w:t>14.3. Недопустими разходи</w:t>
            </w:r>
            <w:r w:rsidR="003E405B">
              <w:rPr>
                <w:noProof/>
                <w:webHidden/>
              </w:rPr>
              <w:tab/>
            </w:r>
            <w:r w:rsidR="003E405B">
              <w:rPr>
                <w:noProof/>
                <w:webHidden/>
              </w:rPr>
              <w:fldChar w:fldCharType="begin"/>
            </w:r>
            <w:r w:rsidR="003E405B">
              <w:rPr>
                <w:noProof/>
                <w:webHidden/>
              </w:rPr>
              <w:instrText xml:space="preserve"> PAGEREF _Toc442298724 \h </w:instrText>
            </w:r>
            <w:r w:rsidR="003E405B">
              <w:rPr>
                <w:noProof/>
                <w:webHidden/>
              </w:rPr>
            </w:r>
            <w:r w:rsidR="003E405B">
              <w:rPr>
                <w:noProof/>
                <w:webHidden/>
              </w:rPr>
              <w:fldChar w:fldCharType="separate"/>
            </w:r>
            <w:r w:rsidR="003E405B">
              <w:rPr>
                <w:noProof/>
                <w:webHidden/>
              </w:rPr>
              <w:t>26</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5" w:history="1">
            <w:r w:rsidR="003E405B" w:rsidRPr="00A86AD5">
              <w:rPr>
                <w:rStyle w:val="Hyperlink"/>
                <w:noProof/>
              </w:rPr>
              <w:t>15. Допустими целеви групи:</w:t>
            </w:r>
            <w:r w:rsidR="003E405B">
              <w:rPr>
                <w:noProof/>
                <w:webHidden/>
              </w:rPr>
              <w:tab/>
            </w:r>
            <w:r w:rsidR="003E405B">
              <w:rPr>
                <w:noProof/>
                <w:webHidden/>
              </w:rPr>
              <w:fldChar w:fldCharType="begin"/>
            </w:r>
            <w:r w:rsidR="003E405B">
              <w:rPr>
                <w:noProof/>
                <w:webHidden/>
              </w:rPr>
              <w:instrText xml:space="preserve"> PAGEREF _Toc442298725 \h </w:instrText>
            </w:r>
            <w:r w:rsidR="003E405B">
              <w:rPr>
                <w:noProof/>
                <w:webHidden/>
              </w:rPr>
            </w:r>
            <w:r w:rsidR="003E405B">
              <w:rPr>
                <w:noProof/>
                <w:webHidden/>
              </w:rPr>
              <w:fldChar w:fldCharType="separate"/>
            </w:r>
            <w:r w:rsidR="003E405B">
              <w:rPr>
                <w:noProof/>
                <w:webHidden/>
              </w:rPr>
              <w:t>27</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6" w:history="1">
            <w:r w:rsidR="003E405B" w:rsidRPr="00A86AD5">
              <w:rPr>
                <w:rStyle w:val="Hyperlink"/>
                <w:noProof/>
              </w:rPr>
              <w:t>16. Приложим режим на минимални/държавни помощи:</w:t>
            </w:r>
            <w:r w:rsidR="003E405B">
              <w:rPr>
                <w:noProof/>
                <w:webHidden/>
              </w:rPr>
              <w:tab/>
            </w:r>
            <w:r w:rsidR="003E405B">
              <w:rPr>
                <w:noProof/>
                <w:webHidden/>
              </w:rPr>
              <w:fldChar w:fldCharType="begin"/>
            </w:r>
            <w:r w:rsidR="003E405B">
              <w:rPr>
                <w:noProof/>
                <w:webHidden/>
              </w:rPr>
              <w:instrText xml:space="preserve"> PAGEREF _Toc442298726 \h </w:instrText>
            </w:r>
            <w:r w:rsidR="003E405B">
              <w:rPr>
                <w:noProof/>
                <w:webHidden/>
              </w:rPr>
            </w:r>
            <w:r w:rsidR="003E405B">
              <w:rPr>
                <w:noProof/>
                <w:webHidden/>
              </w:rPr>
              <w:fldChar w:fldCharType="separate"/>
            </w:r>
            <w:r w:rsidR="003E405B">
              <w:rPr>
                <w:noProof/>
                <w:webHidden/>
              </w:rPr>
              <w:t>30</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7" w:history="1">
            <w:r w:rsidR="003E405B" w:rsidRPr="00A86AD5">
              <w:rPr>
                <w:rStyle w:val="Hyperlink"/>
                <w:noProof/>
              </w:rPr>
              <w:t>17. Хоризонтални политики:</w:t>
            </w:r>
            <w:r w:rsidR="003E405B">
              <w:rPr>
                <w:noProof/>
                <w:webHidden/>
              </w:rPr>
              <w:tab/>
            </w:r>
            <w:r w:rsidR="003E405B">
              <w:rPr>
                <w:noProof/>
                <w:webHidden/>
              </w:rPr>
              <w:fldChar w:fldCharType="begin"/>
            </w:r>
            <w:r w:rsidR="003E405B">
              <w:rPr>
                <w:noProof/>
                <w:webHidden/>
              </w:rPr>
              <w:instrText xml:space="preserve"> PAGEREF _Toc442298727 \h </w:instrText>
            </w:r>
            <w:r w:rsidR="003E405B">
              <w:rPr>
                <w:noProof/>
                <w:webHidden/>
              </w:rPr>
            </w:r>
            <w:r w:rsidR="003E405B">
              <w:rPr>
                <w:noProof/>
                <w:webHidden/>
              </w:rPr>
              <w:fldChar w:fldCharType="separate"/>
            </w:r>
            <w:r w:rsidR="003E405B">
              <w:rPr>
                <w:noProof/>
                <w:webHidden/>
              </w:rPr>
              <w:t>31</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8" w:history="1">
            <w:r w:rsidR="003E405B" w:rsidRPr="00A86AD5">
              <w:rPr>
                <w:rStyle w:val="Hyperlink"/>
                <w:noProof/>
              </w:rPr>
              <w:t>18. Минимален и максимален срок за изпълнение на проекта:</w:t>
            </w:r>
            <w:r w:rsidR="003E405B">
              <w:rPr>
                <w:noProof/>
                <w:webHidden/>
              </w:rPr>
              <w:tab/>
            </w:r>
            <w:r w:rsidR="003E405B">
              <w:rPr>
                <w:noProof/>
                <w:webHidden/>
              </w:rPr>
              <w:fldChar w:fldCharType="begin"/>
            </w:r>
            <w:r w:rsidR="003E405B">
              <w:rPr>
                <w:noProof/>
                <w:webHidden/>
              </w:rPr>
              <w:instrText xml:space="preserve"> PAGEREF _Toc442298728 \h </w:instrText>
            </w:r>
            <w:r w:rsidR="003E405B">
              <w:rPr>
                <w:noProof/>
                <w:webHidden/>
              </w:rPr>
            </w:r>
            <w:r w:rsidR="003E405B">
              <w:rPr>
                <w:noProof/>
                <w:webHidden/>
              </w:rPr>
              <w:fldChar w:fldCharType="separate"/>
            </w:r>
            <w:r w:rsidR="003E405B">
              <w:rPr>
                <w:noProof/>
                <w:webHidden/>
              </w:rPr>
              <w:t>32</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29" w:history="1">
            <w:r w:rsidR="003E405B" w:rsidRPr="00A86AD5">
              <w:rPr>
                <w:rStyle w:val="Hyperlink"/>
                <w:noProof/>
              </w:rPr>
              <w:t>19. Ред за оценяване на концепциите за проектни предложения:</w:t>
            </w:r>
            <w:r w:rsidR="003E405B">
              <w:rPr>
                <w:noProof/>
                <w:webHidden/>
              </w:rPr>
              <w:tab/>
            </w:r>
            <w:r w:rsidR="003E405B">
              <w:rPr>
                <w:noProof/>
                <w:webHidden/>
              </w:rPr>
              <w:fldChar w:fldCharType="begin"/>
            </w:r>
            <w:r w:rsidR="003E405B">
              <w:rPr>
                <w:noProof/>
                <w:webHidden/>
              </w:rPr>
              <w:instrText xml:space="preserve"> PAGEREF _Toc442298729 \h </w:instrText>
            </w:r>
            <w:r w:rsidR="003E405B">
              <w:rPr>
                <w:noProof/>
                <w:webHidden/>
              </w:rPr>
            </w:r>
            <w:r w:rsidR="003E405B">
              <w:rPr>
                <w:noProof/>
                <w:webHidden/>
              </w:rPr>
              <w:fldChar w:fldCharType="separate"/>
            </w:r>
            <w:r w:rsidR="003E405B">
              <w:rPr>
                <w:noProof/>
                <w:webHidden/>
              </w:rPr>
              <w:t>32</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0" w:history="1">
            <w:r w:rsidR="003E405B" w:rsidRPr="00A86AD5">
              <w:rPr>
                <w:rStyle w:val="Hyperlink"/>
                <w:noProof/>
              </w:rPr>
              <w:t>20. Критерии и методика за оценка на концепциите за проектни предложения:</w:t>
            </w:r>
            <w:r w:rsidR="003E405B">
              <w:rPr>
                <w:noProof/>
                <w:webHidden/>
              </w:rPr>
              <w:tab/>
            </w:r>
            <w:r w:rsidR="003E405B">
              <w:rPr>
                <w:noProof/>
                <w:webHidden/>
              </w:rPr>
              <w:fldChar w:fldCharType="begin"/>
            </w:r>
            <w:r w:rsidR="003E405B">
              <w:rPr>
                <w:noProof/>
                <w:webHidden/>
              </w:rPr>
              <w:instrText xml:space="preserve"> PAGEREF _Toc442298730 \h </w:instrText>
            </w:r>
            <w:r w:rsidR="003E405B">
              <w:rPr>
                <w:noProof/>
                <w:webHidden/>
              </w:rPr>
            </w:r>
            <w:r w:rsidR="003E405B">
              <w:rPr>
                <w:noProof/>
                <w:webHidden/>
              </w:rPr>
              <w:fldChar w:fldCharType="separate"/>
            </w:r>
            <w:r w:rsidR="003E405B">
              <w:rPr>
                <w:noProof/>
                <w:webHidden/>
              </w:rPr>
              <w:t>32</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1" w:history="1">
            <w:r w:rsidR="003E405B" w:rsidRPr="00A86AD5">
              <w:rPr>
                <w:rStyle w:val="Hyperlink"/>
                <w:noProof/>
              </w:rPr>
              <w:t>21. Ред за оценяване на проектните предложения:</w:t>
            </w:r>
            <w:r w:rsidR="003E405B">
              <w:rPr>
                <w:noProof/>
                <w:webHidden/>
              </w:rPr>
              <w:tab/>
            </w:r>
            <w:r w:rsidR="003E405B">
              <w:rPr>
                <w:noProof/>
                <w:webHidden/>
              </w:rPr>
              <w:fldChar w:fldCharType="begin"/>
            </w:r>
            <w:r w:rsidR="003E405B">
              <w:rPr>
                <w:noProof/>
                <w:webHidden/>
              </w:rPr>
              <w:instrText xml:space="preserve"> PAGEREF _Toc442298731 \h </w:instrText>
            </w:r>
            <w:r w:rsidR="003E405B">
              <w:rPr>
                <w:noProof/>
                <w:webHidden/>
              </w:rPr>
            </w:r>
            <w:r w:rsidR="003E405B">
              <w:rPr>
                <w:noProof/>
                <w:webHidden/>
              </w:rPr>
              <w:fldChar w:fldCharType="separate"/>
            </w:r>
            <w:r w:rsidR="003E405B">
              <w:rPr>
                <w:noProof/>
                <w:webHidden/>
              </w:rPr>
              <w:t>32</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32" w:history="1">
            <w:r w:rsidR="003E405B" w:rsidRPr="00A86AD5">
              <w:rPr>
                <w:rStyle w:val="Hyperlink"/>
                <w:noProof/>
              </w:rPr>
              <w:t>21.1. Оценка на  административното съответствие и допустимостта</w:t>
            </w:r>
            <w:r w:rsidR="003E405B">
              <w:rPr>
                <w:noProof/>
                <w:webHidden/>
              </w:rPr>
              <w:tab/>
            </w:r>
            <w:r w:rsidR="003E405B">
              <w:rPr>
                <w:noProof/>
                <w:webHidden/>
              </w:rPr>
              <w:fldChar w:fldCharType="begin"/>
            </w:r>
            <w:r w:rsidR="003E405B">
              <w:rPr>
                <w:noProof/>
                <w:webHidden/>
              </w:rPr>
              <w:instrText xml:space="preserve"> PAGEREF _Toc442298732 \h </w:instrText>
            </w:r>
            <w:r w:rsidR="003E405B">
              <w:rPr>
                <w:noProof/>
                <w:webHidden/>
              </w:rPr>
            </w:r>
            <w:r w:rsidR="003E405B">
              <w:rPr>
                <w:noProof/>
                <w:webHidden/>
              </w:rPr>
              <w:fldChar w:fldCharType="separate"/>
            </w:r>
            <w:r w:rsidR="003E405B">
              <w:rPr>
                <w:noProof/>
                <w:webHidden/>
              </w:rPr>
              <w:t>33</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33" w:history="1">
            <w:r w:rsidR="003E405B" w:rsidRPr="00A86AD5">
              <w:rPr>
                <w:rStyle w:val="Hyperlink"/>
                <w:noProof/>
              </w:rPr>
              <w:t>21.2. Техническа и финансова оценка</w:t>
            </w:r>
            <w:r w:rsidR="003E405B">
              <w:rPr>
                <w:noProof/>
                <w:webHidden/>
              </w:rPr>
              <w:tab/>
            </w:r>
            <w:r w:rsidR="003E405B">
              <w:rPr>
                <w:noProof/>
                <w:webHidden/>
              </w:rPr>
              <w:fldChar w:fldCharType="begin"/>
            </w:r>
            <w:r w:rsidR="003E405B">
              <w:rPr>
                <w:noProof/>
                <w:webHidden/>
              </w:rPr>
              <w:instrText xml:space="preserve"> PAGEREF _Toc442298733 \h </w:instrText>
            </w:r>
            <w:r w:rsidR="003E405B">
              <w:rPr>
                <w:noProof/>
                <w:webHidden/>
              </w:rPr>
            </w:r>
            <w:r w:rsidR="003E405B">
              <w:rPr>
                <w:noProof/>
                <w:webHidden/>
              </w:rPr>
              <w:fldChar w:fldCharType="separate"/>
            </w:r>
            <w:r w:rsidR="003E405B">
              <w:rPr>
                <w:noProof/>
                <w:webHidden/>
              </w:rPr>
              <w:t>33</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4" w:history="1">
            <w:r w:rsidR="003E405B" w:rsidRPr="00A86AD5">
              <w:rPr>
                <w:rStyle w:val="Hyperlink"/>
                <w:noProof/>
              </w:rPr>
              <w:t>22. Критерии и методика за оценка на проектните предложения:</w:t>
            </w:r>
            <w:r w:rsidR="003E405B">
              <w:rPr>
                <w:noProof/>
                <w:webHidden/>
              </w:rPr>
              <w:tab/>
            </w:r>
            <w:r w:rsidR="003E405B">
              <w:rPr>
                <w:noProof/>
                <w:webHidden/>
              </w:rPr>
              <w:fldChar w:fldCharType="begin"/>
            </w:r>
            <w:r w:rsidR="003E405B">
              <w:rPr>
                <w:noProof/>
                <w:webHidden/>
              </w:rPr>
              <w:instrText xml:space="preserve"> PAGEREF _Toc442298734 \h </w:instrText>
            </w:r>
            <w:r w:rsidR="003E405B">
              <w:rPr>
                <w:noProof/>
                <w:webHidden/>
              </w:rPr>
            </w:r>
            <w:r w:rsidR="003E405B">
              <w:rPr>
                <w:noProof/>
                <w:webHidden/>
              </w:rPr>
              <w:fldChar w:fldCharType="separate"/>
            </w:r>
            <w:r w:rsidR="003E405B">
              <w:rPr>
                <w:noProof/>
                <w:webHidden/>
              </w:rPr>
              <w:t>35</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5" w:history="1">
            <w:r w:rsidR="003E405B" w:rsidRPr="00A86AD5">
              <w:rPr>
                <w:rStyle w:val="Hyperlink"/>
                <w:noProof/>
              </w:rPr>
              <w:t>23. Начин на подаване на проектните предложения/концепциите за проектни предложения:</w:t>
            </w:r>
            <w:r w:rsidR="003E405B">
              <w:rPr>
                <w:noProof/>
                <w:webHidden/>
              </w:rPr>
              <w:tab/>
            </w:r>
            <w:r w:rsidR="003E405B">
              <w:rPr>
                <w:noProof/>
                <w:webHidden/>
              </w:rPr>
              <w:fldChar w:fldCharType="begin"/>
            </w:r>
            <w:r w:rsidR="003E405B">
              <w:rPr>
                <w:noProof/>
                <w:webHidden/>
              </w:rPr>
              <w:instrText xml:space="preserve"> PAGEREF _Toc442298735 \h </w:instrText>
            </w:r>
            <w:r w:rsidR="003E405B">
              <w:rPr>
                <w:noProof/>
                <w:webHidden/>
              </w:rPr>
            </w:r>
            <w:r w:rsidR="003E405B">
              <w:rPr>
                <w:noProof/>
                <w:webHidden/>
              </w:rPr>
              <w:fldChar w:fldCharType="separate"/>
            </w:r>
            <w:r w:rsidR="003E405B">
              <w:rPr>
                <w:noProof/>
                <w:webHidden/>
              </w:rPr>
              <w:t>37</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6" w:history="1">
            <w:r w:rsidR="003E405B" w:rsidRPr="00A86AD5">
              <w:rPr>
                <w:rStyle w:val="Hyperlink"/>
                <w:noProof/>
              </w:rPr>
              <w:t>24. Списък на документите, които се подават на етап кандидатстване:</w:t>
            </w:r>
            <w:r w:rsidR="003E405B">
              <w:rPr>
                <w:noProof/>
                <w:webHidden/>
              </w:rPr>
              <w:tab/>
            </w:r>
            <w:r w:rsidR="003E405B">
              <w:rPr>
                <w:noProof/>
                <w:webHidden/>
              </w:rPr>
              <w:fldChar w:fldCharType="begin"/>
            </w:r>
            <w:r w:rsidR="003E405B">
              <w:rPr>
                <w:noProof/>
                <w:webHidden/>
              </w:rPr>
              <w:instrText xml:space="preserve"> PAGEREF _Toc442298736 \h </w:instrText>
            </w:r>
            <w:r w:rsidR="003E405B">
              <w:rPr>
                <w:noProof/>
                <w:webHidden/>
              </w:rPr>
            </w:r>
            <w:r w:rsidR="003E405B">
              <w:rPr>
                <w:noProof/>
                <w:webHidden/>
              </w:rPr>
              <w:fldChar w:fldCharType="separate"/>
            </w:r>
            <w:r w:rsidR="003E405B">
              <w:rPr>
                <w:noProof/>
                <w:webHidden/>
              </w:rPr>
              <w:t>39</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7" w:history="1">
            <w:r w:rsidR="003E405B" w:rsidRPr="00A86AD5">
              <w:rPr>
                <w:rStyle w:val="Hyperlink"/>
                <w:noProof/>
              </w:rPr>
              <w:t>25. Краен срок за подаване на проектните предложения:</w:t>
            </w:r>
            <w:r w:rsidR="003E405B">
              <w:rPr>
                <w:noProof/>
                <w:webHidden/>
              </w:rPr>
              <w:tab/>
            </w:r>
            <w:r w:rsidR="003E405B">
              <w:rPr>
                <w:noProof/>
                <w:webHidden/>
              </w:rPr>
              <w:fldChar w:fldCharType="begin"/>
            </w:r>
            <w:r w:rsidR="003E405B">
              <w:rPr>
                <w:noProof/>
                <w:webHidden/>
              </w:rPr>
              <w:instrText xml:space="preserve"> PAGEREF _Toc442298737 \h </w:instrText>
            </w:r>
            <w:r w:rsidR="003E405B">
              <w:rPr>
                <w:noProof/>
                <w:webHidden/>
              </w:rPr>
            </w:r>
            <w:r w:rsidR="003E405B">
              <w:rPr>
                <w:noProof/>
                <w:webHidden/>
              </w:rPr>
              <w:fldChar w:fldCharType="separate"/>
            </w:r>
            <w:r w:rsidR="003E405B">
              <w:rPr>
                <w:noProof/>
                <w:webHidden/>
              </w:rPr>
              <w:t>44</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8" w:history="1">
            <w:r w:rsidR="003E405B" w:rsidRPr="00A86AD5">
              <w:rPr>
                <w:rStyle w:val="Hyperlink"/>
                <w:noProof/>
              </w:rPr>
              <w:t>26. Адрес за подаване на проектните предложения/концепциите за проектни предложения</w:t>
            </w:r>
            <w:r w:rsidR="003E405B">
              <w:rPr>
                <w:noProof/>
                <w:webHidden/>
              </w:rPr>
              <w:tab/>
            </w:r>
            <w:r w:rsidR="003E405B">
              <w:rPr>
                <w:noProof/>
                <w:webHidden/>
              </w:rPr>
              <w:fldChar w:fldCharType="begin"/>
            </w:r>
            <w:r w:rsidR="003E405B">
              <w:rPr>
                <w:noProof/>
                <w:webHidden/>
              </w:rPr>
              <w:instrText xml:space="preserve"> PAGEREF _Toc442298738 \h </w:instrText>
            </w:r>
            <w:r w:rsidR="003E405B">
              <w:rPr>
                <w:noProof/>
                <w:webHidden/>
              </w:rPr>
            </w:r>
            <w:r w:rsidR="003E405B">
              <w:rPr>
                <w:noProof/>
                <w:webHidden/>
              </w:rPr>
              <w:fldChar w:fldCharType="separate"/>
            </w:r>
            <w:r w:rsidR="003E405B">
              <w:rPr>
                <w:noProof/>
                <w:webHidden/>
              </w:rPr>
              <w:t>45</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39" w:history="1">
            <w:r w:rsidR="003E405B" w:rsidRPr="00A86AD5">
              <w:rPr>
                <w:rStyle w:val="Hyperlink"/>
                <w:noProof/>
              </w:rPr>
              <w:t>27. Допълнителна информация:</w:t>
            </w:r>
            <w:r w:rsidR="003E405B">
              <w:rPr>
                <w:noProof/>
                <w:webHidden/>
              </w:rPr>
              <w:tab/>
            </w:r>
            <w:r w:rsidR="003E405B">
              <w:rPr>
                <w:noProof/>
                <w:webHidden/>
              </w:rPr>
              <w:fldChar w:fldCharType="begin"/>
            </w:r>
            <w:r w:rsidR="003E405B">
              <w:rPr>
                <w:noProof/>
                <w:webHidden/>
              </w:rPr>
              <w:instrText xml:space="preserve"> PAGEREF _Toc442298739 \h </w:instrText>
            </w:r>
            <w:r w:rsidR="003E405B">
              <w:rPr>
                <w:noProof/>
                <w:webHidden/>
              </w:rPr>
            </w:r>
            <w:r w:rsidR="003E405B">
              <w:rPr>
                <w:noProof/>
                <w:webHidden/>
              </w:rPr>
              <w:fldChar w:fldCharType="separate"/>
            </w:r>
            <w:r w:rsidR="003E405B">
              <w:rPr>
                <w:noProof/>
                <w:webHidden/>
              </w:rPr>
              <w:t>45</w:t>
            </w:r>
            <w:r w:rsidR="003E405B">
              <w:rPr>
                <w:noProof/>
                <w:webHidden/>
              </w:rPr>
              <w:fldChar w:fldCharType="end"/>
            </w:r>
          </w:hyperlink>
        </w:p>
        <w:p w:rsidR="003E405B" w:rsidRDefault="0036767F">
          <w:pPr>
            <w:pStyle w:val="TOC3"/>
            <w:tabs>
              <w:tab w:val="right" w:leader="dot" w:pos="9346"/>
            </w:tabs>
            <w:rPr>
              <w:rFonts w:eastAsiaTheme="minorEastAsia"/>
              <w:noProof/>
              <w:lang w:eastAsia="bg-BG"/>
            </w:rPr>
          </w:pPr>
          <w:hyperlink w:anchor="_Toc442298740" w:history="1">
            <w:r w:rsidR="003E405B" w:rsidRPr="00A86AD5">
              <w:rPr>
                <w:rStyle w:val="Hyperlink"/>
                <w:noProof/>
              </w:rPr>
              <w:t>27.1. Процедура за уведомяване на неуспелите и одобрените кандидати и сключване на договори за безвъзмездна финансова помощ</w:t>
            </w:r>
            <w:r w:rsidR="003E405B">
              <w:rPr>
                <w:noProof/>
                <w:webHidden/>
              </w:rPr>
              <w:tab/>
            </w:r>
            <w:r w:rsidR="003E405B">
              <w:rPr>
                <w:noProof/>
                <w:webHidden/>
              </w:rPr>
              <w:fldChar w:fldCharType="begin"/>
            </w:r>
            <w:r w:rsidR="003E405B">
              <w:rPr>
                <w:noProof/>
                <w:webHidden/>
              </w:rPr>
              <w:instrText xml:space="preserve"> PAGEREF _Toc442298740 \h </w:instrText>
            </w:r>
            <w:r w:rsidR="003E405B">
              <w:rPr>
                <w:noProof/>
                <w:webHidden/>
              </w:rPr>
            </w:r>
            <w:r w:rsidR="003E405B">
              <w:rPr>
                <w:noProof/>
                <w:webHidden/>
              </w:rPr>
              <w:fldChar w:fldCharType="separate"/>
            </w:r>
            <w:r w:rsidR="003E405B">
              <w:rPr>
                <w:noProof/>
                <w:webHidden/>
              </w:rPr>
              <w:t>45</w:t>
            </w:r>
            <w:r w:rsidR="003E405B">
              <w:rPr>
                <w:noProof/>
                <w:webHidden/>
              </w:rPr>
              <w:fldChar w:fldCharType="end"/>
            </w:r>
          </w:hyperlink>
        </w:p>
        <w:p w:rsidR="003E405B" w:rsidRDefault="0036767F">
          <w:pPr>
            <w:pStyle w:val="TOC2"/>
            <w:tabs>
              <w:tab w:val="right" w:leader="dot" w:pos="9346"/>
            </w:tabs>
            <w:rPr>
              <w:rFonts w:eastAsiaTheme="minorEastAsia"/>
              <w:noProof/>
              <w:lang w:eastAsia="bg-BG"/>
            </w:rPr>
          </w:pPr>
          <w:hyperlink w:anchor="_Toc442298741" w:history="1">
            <w:r w:rsidR="003E405B" w:rsidRPr="00A86AD5">
              <w:rPr>
                <w:rStyle w:val="Hyperlink"/>
                <w:noProof/>
              </w:rPr>
              <w:t>28. Приложения към Условията за кандидатстване:</w:t>
            </w:r>
            <w:r w:rsidR="003E405B">
              <w:rPr>
                <w:noProof/>
                <w:webHidden/>
              </w:rPr>
              <w:tab/>
            </w:r>
            <w:r w:rsidR="003E405B">
              <w:rPr>
                <w:noProof/>
                <w:webHidden/>
              </w:rPr>
              <w:fldChar w:fldCharType="begin"/>
            </w:r>
            <w:r w:rsidR="003E405B">
              <w:rPr>
                <w:noProof/>
                <w:webHidden/>
              </w:rPr>
              <w:instrText xml:space="preserve"> PAGEREF _Toc442298741 \h </w:instrText>
            </w:r>
            <w:r w:rsidR="003E405B">
              <w:rPr>
                <w:noProof/>
                <w:webHidden/>
              </w:rPr>
            </w:r>
            <w:r w:rsidR="003E405B">
              <w:rPr>
                <w:noProof/>
                <w:webHidden/>
              </w:rPr>
              <w:fldChar w:fldCharType="separate"/>
            </w:r>
            <w:r w:rsidR="003E405B">
              <w:rPr>
                <w:noProof/>
                <w:webHidden/>
              </w:rPr>
              <w:t>50</w:t>
            </w:r>
            <w:r w:rsidR="003E405B">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5C1072" w:rsidRPr="003C4AB6" w:rsidRDefault="005C1072">
      <w:pPr>
        <w:rPr>
          <w:rFonts w:asciiTheme="majorHAnsi" w:eastAsiaTheme="majorEastAsia" w:hAnsiTheme="majorHAnsi" w:cstheme="majorBidi"/>
          <w:b/>
          <w:bCs/>
          <w:color w:val="5B9BD5" w:themeColor="accent1"/>
          <w:sz w:val="26"/>
          <w:szCs w:val="26"/>
          <w:lang w:val="en-US"/>
        </w:rPr>
      </w:pPr>
      <w:r w:rsidRPr="003C4AB6">
        <w:br w:type="page"/>
      </w:r>
    </w:p>
    <w:p w:rsidR="007057A9" w:rsidRPr="003C4AB6" w:rsidRDefault="002325A3" w:rsidP="005C1072">
      <w:pPr>
        <w:pStyle w:val="Heading2"/>
        <w:spacing w:before="120" w:after="120"/>
      </w:pPr>
      <w:bookmarkStart w:id="0" w:name="_Toc442298704"/>
      <w:r w:rsidRPr="003C4AB6">
        <w:lastRenderedPageBreak/>
        <w:t xml:space="preserve">1. </w:t>
      </w:r>
      <w:r w:rsidR="007057A9" w:rsidRPr="003C4AB6">
        <w:t>Наименование на програмата:</w:t>
      </w:r>
      <w:bookmarkEnd w:id="0"/>
    </w:p>
    <w:p w:rsidR="0010018A" w:rsidRPr="003C4AB6" w:rsidRDefault="0061539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Оперативна програма „Иновации и конкурентоспособност“ 2014-2020</w:t>
      </w:r>
    </w:p>
    <w:p w:rsidR="007057A9" w:rsidRPr="003C4AB6" w:rsidRDefault="002325A3" w:rsidP="005C1072">
      <w:pPr>
        <w:pStyle w:val="Heading2"/>
        <w:spacing w:before="120" w:after="120"/>
      </w:pPr>
      <w:bookmarkStart w:id="1" w:name="_Toc442298705"/>
      <w:r w:rsidRPr="003C4AB6">
        <w:t>2. Н</w:t>
      </w:r>
      <w:r w:rsidR="007057A9" w:rsidRPr="003C4AB6">
        <w:t>аименование на приоритетната ос</w:t>
      </w:r>
      <w:r w:rsidRPr="003C4AB6">
        <w:t>:</w:t>
      </w:r>
      <w:bookmarkEnd w:id="1"/>
    </w:p>
    <w:p w:rsidR="00782571" w:rsidRPr="003C4AB6" w:rsidRDefault="009F1626"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3C4AB6">
        <w:rPr>
          <w:bCs/>
          <w:sz w:val="24"/>
          <w:szCs w:val="24"/>
        </w:rPr>
        <w:t>Приоритетна ос 1 „Технологично развитие и иновации</w:t>
      </w:r>
      <w:r w:rsidR="00814736" w:rsidRPr="003C4AB6">
        <w:rPr>
          <w:bCs/>
          <w:sz w:val="24"/>
          <w:szCs w:val="24"/>
        </w:rPr>
        <w:t>“</w:t>
      </w:r>
      <w:r w:rsidR="00622A49" w:rsidRPr="003C4AB6">
        <w:rPr>
          <w:bCs/>
          <w:sz w:val="24"/>
          <w:szCs w:val="24"/>
        </w:rPr>
        <w:t xml:space="preserve"> </w:t>
      </w:r>
    </w:p>
    <w:p w:rsidR="0010018A" w:rsidRPr="003C4AB6" w:rsidRDefault="009F1626"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Cs/>
          <w:sz w:val="24"/>
          <w:szCs w:val="24"/>
        </w:rPr>
        <w:t>Инвестиционен приоритет 1.1 „Технологично развитие и иновации”</w:t>
      </w:r>
    </w:p>
    <w:p w:rsidR="006A2DB8" w:rsidRPr="003C4AB6" w:rsidRDefault="002325A3" w:rsidP="005C1072">
      <w:pPr>
        <w:pStyle w:val="Heading2"/>
        <w:spacing w:before="120" w:after="120"/>
      </w:pPr>
      <w:bookmarkStart w:id="2" w:name="_Toc442298706"/>
      <w:r w:rsidRPr="003C4AB6">
        <w:t xml:space="preserve">3. </w:t>
      </w:r>
      <w:r w:rsidR="007057A9" w:rsidRPr="003C4AB6">
        <w:t>Наименование на процедурата</w:t>
      </w:r>
      <w:r w:rsidRPr="003C4AB6">
        <w:t>:</w:t>
      </w:r>
      <w:bookmarkEnd w:id="2"/>
    </w:p>
    <w:p w:rsidR="0010018A" w:rsidRPr="003C4AB6" w:rsidRDefault="00D67C5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BG16RFOP002-1.002</w:t>
      </w:r>
      <w:r w:rsidR="00D87CE5" w:rsidRPr="00D87CE5">
        <w:rPr>
          <w:sz w:val="24"/>
          <w:szCs w:val="24"/>
        </w:rPr>
        <w:t xml:space="preserve"> </w:t>
      </w:r>
      <w:r w:rsidR="009F1626" w:rsidRPr="003C4AB6">
        <w:rPr>
          <w:sz w:val="24"/>
          <w:szCs w:val="24"/>
        </w:rPr>
        <w:t>„</w:t>
      </w:r>
      <w:r w:rsidR="00510197" w:rsidRPr="003C4AB6">
        <w:rPr>
          <w:sz w:val="24"/>
          <w:szCs w:val="24"/>
        </w:rPr>
        <w:t xml:space="preserve">Подкрепа за </w:t>
      </w:r>
      <w:r w:rsidR="00B7781A" w:rsidRPr="003C4AB6">
        <w:rPr>
          <w:sz w:val="24"/>
          <w:szCs w:val="24"/>
        </w:rPr>
        <w:t>разработване на иновации от стартиращи предприятия</w:t>
      </w:r>
      <w:r w:rsidR="009F1626" w:rsidRPr="003C4AB6">
        <w:rPr>
          <w:sz w:val="24"/>
          <w:szCs w:val="24"/>
        </w:rPr>
        <w:t>“</w:t>
      </w:r>
    </w:p>
    <w:p w:rsidR="00CB14EE" w:rsidRPr="003C4AB6" w:rsidRDefault="00CB14EE" w:rsidP="005C1072">
      <w:pPr>
        <w:pStyle w:val="Heading2"/>
        <w:spacing w:before="120" w:after="120"/>
      </w:pPr>
      <w:bookmarkStart w:id="3" w:name="_Toc442298707"/>
      <w:r w:rsidRPr="003C4AB6">
        <w:t>4. Измерения по кодове:</w:t>
      </w:r>
      <w:bookmarkEnd w:id="3"/>
    </w:p>
    <w:p w:rsidR="00093585" w:rsidRPr="003C4AB6" w:rsidRDefault="00093585"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1 – Област на интервенция:</w:t>
      </w:r>
    </w:p>
    <w:p w:rsidR="00CB14EE" w:rsidRPr="003C4AB6" w:rsidRDefault="003E24D0"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056 Инвестиции в инфраструктура, капацитет и оборудване в МСП, пряко свързани с научноизследователски и иновационни дейности</w:t>
      </w:r>
      <w:r w:rsidR="004B32ED" w:rsidRPr="003C4AB6">
        <w:rPr>
          <w:sz w:val="24"/>
          <w:szCs w:val="24"/>
        </w:rPr>
        <w:t>.</w:t>
      </w:r>
    </w:p>
    <w:p w:rsidR="003E24D0" w:rsidRPr="003C4AB6" w:rsidRDefault="003E24D0"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057 Инвестиции в инфраструктура, капацитет и оборудване в големи дружества, пряко свързани с научноизследователски и иновационни дейности</w:t>
      </w:r>
    </w:p>
    <w:p w:rsidR="004B32ED" w:rsidRPr="003C4AB6"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214C6" w:rsidRPr="003C4AB6"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2 – Форма на финансиране:</w:t>
      </w:r>
    </w:p>
    <w:p w:rsidR="009214C6" w:rsidRPr="003C4AB6"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01 Безвъзмездни средства</w:t>
      </w:r>
      <w:r w:rsidR="004B32ED" w:rsidRPr="003C4AB6">
        <w:rPr>
          <w:sz w:val="24"/>
          <w:szCs w:val="24"/>
        </w:rPr>
        <w:t>.</w:t>
      </w:r>
    </w:p>
    <w:p w:rsidR="004B32ED" w:rsidRPr="003C4AB6"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214C6" w:rsidRPr="003C4AB6" w:rsidRDefault="009214C6"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3 – Вид територия</w:t>
      </w:r>
      <w:r w:rsidR="004B32ED" w:rsidRPr="003C4AB6">
        <w:rPr>
          <w:sz w:val="24"/>
          <w:szCs w:val="24"/>
        </w:rPr>
        <w:t>:</w:t>
      </w:r>
    </w:p>
    <w:p w:rsidR="004B32ED" w:rsidRPr="003C4AB6"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07 Не се прилага.</w:t>
      </w:r>
    </w:p>
    <w:p w:rsidR="004B32ED" w:rsidRPr="003C4AB6"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B32ED" w:rsidRPr="003C4AB6" w:rsidRDefault="004B32ED" w:rsidP="004B32E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4 – Териториални механизми за изпълнение:</w:t>
      </w:r>
    </w:p>
    <w:p w:rsidR="004B32ED" w:rsidRPr="003C4AB6" w:rsidRDefault="004B32ED" w:rsidP="00CB14E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07 Не се прилага.</w:t>
      </w: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00CFB" w:rsidRPr="003C4AB6" w:rsidRDefault="00200CFB"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Измерение 5 – Тематична цел </w:t>
      </w:r>
    </w:p>
    <w:p w:rsidR="00A939F7" w:rsidRPr="003C4AB6" w:rsidRDefault="00200CFB"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01</w:t>
      </w:r>
      <w:r w:rsidR="00A939F7" w:rsidRPr="003C4AB6">
        <w:rPr>
          <w:sz w:val="24"/>
          <w:szCs w:val="24"/>
        </w:rPr>
        <w:t xml:space="preserve"> </w:t>
      </w:r>
      <w:r w:rsidR="005D12BA" w:rsidRPr="003C4AB6">
        <w:rPr>
          <w:sz w:val="24"/>
          <w:szCs w:val="24"/>
        </w:rPr>
        <w:t>Засилване на научноизследователската дейност, развойната дейност в областта на технологиите и иновациите</w:t>
      </w: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6 Вторична тема по ЕСФ</w:t>
      </w: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08 Не се прилага</w:t>
      </w: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939F7" w:rsidRPr="003C4AB6" w:rsidRDefault="00A939F7" w:rsidP="00A939F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Измерение 7 Икономическа дейност</w:t>
      </w:r>
    </w:p>
    <w:p w:rsidR="004A58E5" w:rsidRPr="003C4AB6" w:rsidRDefault="004A58E5" w:rsidP="00416190">
      <w:pPr>
        <w:pStyle w:val="ListParagraph"/>
        <w:spacing w:after="120" w:line="240" w:lineRule="auto"/>
        <w:ind w:left="0"/>
        <w:jc w:val="both"/>
        <w:rPr>
          <w:b/>
          <w:sz w:val="24"/>
          <w:szCs w:val="24"/>
        </w:rPr>
      </w:pPr>
      <w:r w:rsidRPr="003C4AB6">
        <w:rPr>
          <w:b/>
          <w:sz w:val="24"/>
          <w:szCs w:val="24"/>
        </w:rPr>
        <w:t xml:space="preserve">   </w:t>
      </w:r>
    </w:p>
    <w:p w:rsidR="00090F19" w:rsidRPr="003C4AB6" w:rsidRDefault="004A58E5" w:rsidP="00416190">
      <w:pPr>
        <w:pStyle w:val="Heading2"/>
        <w:spacing w:before="0" w:after="120"/>
      </w:pPr>
      <w:bookmarkStart w:id="4" w:name="_Toc442298708"/>
      <w:r w:rsidRPr="003C4AB6">
        <w:t>5. Териториален обхват:</w:t>
      </w:r>
      <w:bookmarkEnd w:id="4"/>
    </w:p>
    <w:p w:rsidR="00090F19" w:rsidRPr="003C4AB6" w:rsidRDefault="00E03956" w:rsidP="00F241A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3C4AB6">
        <w:rPr>
          <w:sz w:val="24"/>
          <w:szCs w:val="24"/>
        </w:rPr>
        <w:t>Проектите по процедурата следва да бъдат изпълнени на територията на Република България.</w:t>
      </w:r>
    </w:p>
    <w:p w:rsidR="00901F98" w:rsidRPr="003C4AB6" w:rsidRDefault="004A58E5" w:rsidP="005C1072">
      <w:pPr>
        <w:pStyle w:val="Heading2"/>
        <w:spacing w:before="120" w:after="120"/>
      </w:pPr>
      <w:bookmarkStart w:id="5" w:name="_Toc442298709"/>
      <w:r w:rsidRPr="003C4AB6">
        <w:lastRenderedPageBreak/>
        <w:t>6</w:t>
      </w:r>
      <w:r w:rsidR="002325A3" w:rsidRPr="003C4AB6">
        <w:t>. Цели</w:t>
      </w:r>
      <w:r w:rsidR="00901F98" w:rsidRPr="003C4AB6">
        <w:t xml:space="preserve"> </w:t>
      </w:r>
      <w:r w:rsidR="00FC0697" w:rsidRPr="003C4AB6">
        <w:t xml:space="preserve">на предоставяната </w:t>
      </w:r>
      <w:r w:rsidR="00BA2E00" w:rsidRPr="003C4AB6">
        <w:rPr>
          <w:rFonts w:ascii="Calibri" w:eastAsia="Calibri" w:hAnsi="Calibri" w:cs="Times New Roman"/>
        </w:rPr>
        <w:t>безвъзмездна финансова помощ</w:t>
      </w:r>
      <w:r w:rsidR="00FC0697" w:rsidRPr="003C4AB6">
        <w:t xml:space="preserve"> по </w:t>
      </w:r>
      <w:r w:rsidR="00901F98" w:rsidRPr="003C4AB6">
        <w:t>п</w:t>
      </w:r>
      <w:r w:rsidR="00FC0697" w:rsidRPr="003C4AB6">
        <w:t>роцедура</w:t>
      </w:r>
      <w:r w:rsidR="00916B5A" w:rsidRPr="003C4AB6">
        <w:t>та</w:t>
      </w:r>
      <w:r w:rsidR="00CB14EE" w:rsidRPr="003C4AB6">
        <w:t xml:space="preserve"> и очаквани резултати</w:t>
      </w:r>
      <w:r w:rsidR="00EC3AF3" w:rsidRPr="003C4AB6">
        <w:rPr>
          <w:rStyle w:val="FootnoteReference"/>
          <w:sz w:val="24"/>
          <w:szCs w:val="24"/>
        </w:rPr>
        <w:footnoteReference w:id="1"/>
      </w:r>
      <w:r w:rsidR="00916B5A" w:rsidRPr="003C4AB6">
        <w:t>:</w:t>
      </w:r>
      <w:bookmarkEnd w:id="5"/>
    </w:p>
    <w:p w:rsidR="00EC000B" w:rsidRPr="003C4AB6" w:rsidRDefault="00EC000B" w:rsidP="00EC000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b/>
          <w:sz w:val="24"/>
          <w:szCs w:val="24"/>
        </w:rPr>
        <w:t>Цел на процедурата:</w:t>
      </w:r>
    </w:p>
    <w:p w:rsidR="00823AEC" w:rsidRPr="003C4AB6" w:rsidRDefault="00845937" w:rsidP="003C61C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Предоставяне на подкрепа за стартиращи предприятия</w:t>
      </w:r>
      <w:r w:rsidR="00F817B3" w:rsidRPr="003C4AB6">
        <w:rPr>
          <w:rStyle w:val="FootnoteReference"/>
          <w:sz w:val="24"/>
          <w:szCs w:val="24"/>
        </w:rPr>
        <w:footnoteReference w:id="2"/>
      </w:r>
      <w:r w:rsidRPr="003C4AB6">
        <w:rPr>
          <w:sz w:val="24"/>
          <w:szCs w:val="24"/>
          <w:lang w:val="en-US"/>
        </w:rPr>
        <w:t xml:space="preserve"> </w:t>
      </w:r>
      <w:r w:rsidRPr="003C4AB6">
        <w:rPr>
          <w:sz w:val="24"/>
          <w:szCs w:val="24"/>
        </w:rPr>
        <w:t>в страната за повишаване на иновационната дейност в тематичните области на ИСИС, като изпълнението на проектите, подкрепени по процедурата, следва да води до разработване на продукт (стока или услуга) или процес в приоритетните направления на тематичните области на ИСИС</w:t>
      </w:r>
      <w:r w:rsidR="00D8114A" w:rsidRPr="003C4AB6">
        <w:rPr>
          <w:sz w:val="24"/>
          <w:szCs w:val="24"/>
        </w:rPr>
        <w:t>.</w:t>
      </w:r>
    </w:p>
    <w:p w:rsidR="00D8114A" w:rsidRPr="003C4AB6" w:rsidRDefault="00D8114A" w:rsidP="003C61C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b/>
          <w:sz w:val="24"/>
          <w:szCs w:val="24"/>
        </w:rPr>
        <w:t>Обосновка:</w:t>
      </w: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Според класацията на Иновационния съюз от 2015 г. България попада в групата на страните „плахи </w:t>
      </w:r>
      <w:proofErr w:type="spellStart"/>
      <w:r w:rsidRPr="003C4AB6">
        <w:rPr>
          <w:sz w:val="24"/>
          <w:szCs w:val="24"/>
        </w:rPr>
        <w:t>иноватори</w:t>
      </w:r>
      <w:proofErr w:type="spellEnd"/>
      <w:r w:rsidRPr="003C4AB6">
        <w:rPr>
          <w:sz w:val="24"/>
          <w:szCs w:val="24"/>
        </w:rPr>
        <w:t>“, чието представяне е с повече от 50% под средното ниво за ЕС-28 и заема предпоследно място по иновационно представяне сред ЕС-28. Най-сериозна причина за изоставането на България по отношение иновациите е делът на общите инвестиции в НИРД и иновации в сравнение с водещите световни икономики и другите държави-членки на ЕС.</w:t>
      </w:r>
    </w:p>
    <w:p w:rsidR="00AD1F3F" w:rsidRPr="003C4AB6" w:rsidRDefault="00AD1F3F"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В частния сектор по-голямата част от предприятията, особено </w:t>
      </w:r>
      <w:proofErr w:type="spellStart"/>
      <w:r w:rsidRPr="003C4AB6">
        <w:rPr>
          <w:sz w:val="24"/>
          <w:szCs w:val="24"/>
        </w:rPr>
        <w:t>микро</w:t>
      </w:r>
      <w:proofErr w:type="spellEnd"/>
      <w:r w:rsidRPr="003C4AB6">
        <w:rPr>
          <w:sz w:val="24"/>
          <w:szCs w:val="24"/>
        </w:rPr>
        <w:t xml:space="preserve"> и малките предприятия, не разполагат със собствени технологии и възможности за разработване на иновации с решаващо значение за отделни отрасли или група отрасли от икономиката. Тези фирми работят под технологичната граница, а техният растеж се основава на източници на подобрения в производителността, които не са свързани с НИРД и разпространение на знанията, нито с генериране на знания. </w:t>
      </w:r>
    </w:p>
    <w:p w:rsidR="00AD1F3F" w:rsidRPr="003C4AB6" w:rsidRDefault="00AD1F3F"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В резултат от това българската икономика все още не е навлязла в етапа на преход от ефикасна икономика към високо ниво на развитие, което я поставя в позицията на „догонваща” държава. Чрез подкрепата по ОПИК 2014-2020 се търсят възможности за ускоряването на прехода към икономика, базирана на знанието и в този смисъл стратегията на ОПИК 2014-2020 г. е насочена към увеличаване на инвестициите (публични и частни) в НИРД и иновации и принос за постигането на националната цел за дял от 1,5% на разходите за НИРД от БВП.</w:t>
      </w:r>
    </w:p>
    <w:p w:rsidR="00AD1F3F" w:rsidRPr="003C4AB6" w:rsidRDefault="00AD1F3F"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Иновационната стратегия за интелигентна специализация, която има характера на предварително условие за стартиране на мерките по Приоритетна ос 1 „Технологично развитие и иновации“ (Тематична цел 1 от ОСР) адресира необходимостта от синхронизиране на усилията в сферата на развитието на икономиката, научните изследвания и иновациите, и засилване на връзката между науката и бизнеса. Стратегическата цел на ИСИС е „До 2020 г. България да премине от групата на „плахите </w:t>
      </w:r>
      <w:proofErr w:type="spellStart"/>
      <w:r w:rsidRPr="003C4AB6">
        <w:rPr>
          <w:sz w:val="24"/>
          <w:szCs w:val="24"/>
        </w:rPr>
        <w:t>иноватори</w:t>
      </w:r>
      <w:proofErr w:type="spellEnd"/>
      <w:r w:rsidRPr="003C4AB6">
        <w:rPr>
          <w:sz w:val="24"/>
          <w:szCs w:val="24"/>
        </w:rPr>
        <w:t xml:space="preserve">” в групата на „умерените </w:t>
      </w:r>
      <w:proofErr w:type="spellStart"/>
      <w:r w:rsidRPr="003C4AB6">
        <w:rPr>
          <w:sz w:val="24"/>
          <w:szCs w:val="24"/>
        </w:rPr>
        <w:t>иноватори</w:t>
      </w:r>
      <w:proofErr w:type="spellEnd"/>
      <w:r w:rsidRPr="003C4AB6">
        <w:rPr>
          <w:sz w:val="24"/>
          <w:szCs w:val="24"/>
        </w:rPr>
        <w:t xml:space="preserve">”. Изпълнението на тази цел се свързва с провеждането на ефективна политика за растеж на базата на конкурентните предимства на индустрията и научните изследвания. ИСИС определя тематични области, като посредством регулярна комуникация с всички партньори и заинтересовани страни ще се гарантира непрекъснат процес на предприемаческо откритие. В тази връзка, по </w:t>
      </w:r>
      <w:r w:rsidRPr="003C4AB6">
        <w:rPr>
          <w:sz w:val="24"/>
          <w:szCs w:val="24"/>
        </w:rPr>
        <w:lastRenderedPageBreak/>
        <w:t>Приоритетна ос 1 на ОПИК (вкл. настоящата процедура) ще се подкрепят изключително дейности попадащи в специфичните тематични области на ИСИС.</w:t>
      </w:r>
    </w:p>
    <w:p w:rsidR="000F4F1B" w:rsidRPr="003C4AB6" w:rsidRDefault="000F4F1B"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11FF9"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ИСИС определя следните </w:t>
      </w:r>
      <w:r w:rsidRPr="003C4AB6">
        <w:rPr>
          <w:b/>
          <w:sz w:val="24"/>
          <w:szCs w:val="24"/>
        </w:rPr>
        <w:t>четири тематични области</w:t>
      </w:r>
      <w:r w:rsidRPr="003C4AB6">
        <w:rPr>
          <w:sz w:val="24"/>
          <w:szCs w:val="24"/>
        </w:rPr>
        <w:t xml:space="preserve"> по Цел 1:</w:t>
      </w:r>
    </w:p>
    <w:p w:rsidR="000F4F1B" w:rsidRPr="003C4AB6" w:rsidRDefault="000F4F1B"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11FF9" w:rsidRPr="003C4AB6" w:rsidRDefault="00F901C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971EF3" w:rsidRPr="003C4AB6">
        <w:rPr>
          <w:sz w:val="24"/>
          <w:szCs w:val="24"/>
        </w:rPr>
        <w:t xml:space="preserve"> </w:t>
      </w:r>
      <w:r w:rsidR="000F4F1B" w:rsidRPr="003C4AB6">
        <w:rPr>
          <w:sz w:val="24"/>
          <w:szCs w:val="24"/>
        </w:rPr>
        <w:t xml:space="preserve">• </w:t>
      </w:r>
      <w:proofErr w:type="spellStart"/>
      <w:r w:rsidR="00E11FF9" w:rsidRPr="003C4AB6">
        <w:rPr>
          <w:sz w:val="24"/>
          <w:szCs w:val="24"/>
        </w:rPr>
        <w:t>мехатроника</w:t>
      </w:r>
      <w:proofErr w:type="spellEnd"/>
      <w:r w:rsidR="00E11FF9" w:rsidRPr="003C4AB6">
        <w:rPr>
          <w:sz w:val="24"/>
          <w:szCs w:val="24"/>
        </w:rPr>
        <w:t xml:space="preserve"> и чисти технологии; </w:t>
      </w:r>
    </w:p>
    <w:p w:rsidR="00E11FF9" w:rsidRPr="003C4AB6" w:rsidRDefault="00F901C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971EF3" w:rsidRPr="003C4AB6">
        <w:rPr>
          <w:sz w:val="24"/>
          <w:szCs w:val="24"/>
        </w:rPr>
        <w:t xml:space="preserve"> </w:t>
      </w:r>
      <w:r w:rsidR="000F4F1B" w:rsidRPr="003C4AB6">
        <w:rPr>
          <w:sz w:val="24"/>
          <w:szCs w:val="24"/>
        </w:rPr>
        <w:t xml:space="preserve">• </w:t>
      </w:r>
      <w:r w:rsidR="00E11FF9" w:rsidRPr="003C4AB6">
        <w:rPr>
          <w:sz w:val="24"/>
          <w:szCs w:val="24"/>
        </w:rPr>
        <w:t xml:space="preserve">ИКТ и информатика; </w:t>
      </w:r>
    </w:p>
    <w:p w:rsidR="00E11FF9" w:rsidRPr="003C4AB6" w:rsidRDefault="00F901C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971EF3" w:rsidRPr="003C4AB6">
        <w:rPr>
          <w:sz w:val="24"/>
          <w:szCs w:val="24"/>
        </w:rPr>
        <w:t xml:space="preserve"> </w:t>
      </w:r>
      <w:r w:rsidR="000F4F1B" w:rsidRPr="003C4AB6">
        <w:rPr>
          <w:sz w:val="24"/>
          <w:szCs w:val="24"/>
        </w:rPr>
        <w:t xml:space="preserve">• </w:t>
      </w:r>
      <w:r w:rsidR="00E11FF9" w:rsidRPr="003C4AB6">
        <w:rPr>
          <w:sz w:val="24"/>
          <w:szCs w:val="24"/>
        </w:rPr>
        <w:t xml:space="preserve">индустрия за здравословен живот и </w:t>
      </w:r>
      <w:proofErr w:type="spellStart"/>
      <w:r w:rsidR="00E11FF9" w:rsidRPr="003C4AB6">
        <w:rPr>
          <w:sz w:val="24"/>
          <w:szCs w:val="24"/>
        </w:rPr>
        <w:t>биотехнологии</w:t>
      </w:r>
      <w:proofErr w:type="spellEnd"/>
      <w:r w:rsidR="00E11FF9" w:rsidRPr="003C4AB6">
        <w:rPr>
          <w:sz w:val="24"/>
          <w:szCs w:val="24"/>
        </w:rPr>
        <w:t xml:space="preserve">; </w:t>
      </w:r>
    </w:p>
    <w:p w:rsidR="00E11FF9" w:rsidRPr="003C4AB6" w:rsidRDefault="00F901C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971EF3" w:rsidRPr="003C4AB6">
        <w:rPr>
          <w:sz w:val="24"/>
          <w:szCs w:val="24"/>
        </w:rPr>
        <w:t xml:space="preserve"> </w:t>
      </w:r>
      <w:r w:rsidR="000F4F1B" w:rsidRPr="003C4AB6">
        <w:rPr>
          <w:sz w:val="24"/>
          <w:szCs w:val="24"/>
        </w:rPr>
        <w:t xml:space="preserve">• </w:t>
      </w:r>
      <w:r w:rsidR="00E11FF9" w:rsidRPr="003C4AB6">
        <w:rPr>
          <w:sz w:val="24"/>
          <w:szCs w:val="24"/>
        </w:rPr>
        <w:t xml:space="preserve">нови технологии в креативните и </w:t>
      </w:r>
      <w:proofErr w:type="spellStart"/>
      <w:r w:rsidR="00E11FF9" w:rsidRPr="003C4AB6">
        <w:rPr>
          <w:sz w:val="24"/>
          <w:szCs w:val="24"/>
        </w:rPr>
        <w:t>рекреативните</w:t>
      </w:r>
      <w:proofErr w:type="spellEnd"/>
      <w:r w:rsidR="00E11FF9" w:rsidRPr="003C4AB6">
        <w:rPr>
          <w:sz w:val="24"/>
          <w:szCs w:val="24"/>
        </w:rPr>
        <w:t xml:space="preserve"> индустрии. </w:t>
      </w:r>
    </w:p>
    <w:p w:rsidR="000F4F1B" w:rsidRPr="003C4AB6" w:rsidRDefault="000F4F1B"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D66EDF" w:rsidRPr="003C4AB6" w:rsidRDefault="00E11FF9" w:rsidP="00E11F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sz w:val="24"/>
          <w:szCs w:val="24"/>
        </w:rPr>
        <w:t>Фокусът на настоящата процедура е в пълно съответствие със специфичната цел на Приоритетна ос 1 на ОПИК за повишаване на иновационната дейност на предприятията и ще допринесе за разработване на иновации с потенциал за внедряване в икономиката от стартиращи предприятия.</w:t>
      </w:r>
    </w:p>
    <w:p w:rsidR="00AD1F3F" w:rsidRPr="003C4AB6" w:rsidRDefault="00AD1F3F" w:rsidP="002127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21271E" w:rsidRPr="003C4AB6" w:rsidRDefault="00ED0F81" w:rsidP="002127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Очакваните резултати</w:t>
      </w:r>
      <w:r w:rsidRPr="003C4AB6">
        <w:rPr>
          <w:sz w:val="24"/>
          <w:szCs w:val="24"/>
        </w:rPr>
        <w:t xml:space="preserve"> от подкрепата </w:t>
      </w:r>
      <w:r w:rsidR="00F901C9" w:rsidRPr="003C4AB6">
        <w:rPr>
          <w:sz w:val="24"/>
          <w:szCs w:val="24"/>
        </w:rPr>
        <w:t>по процедурата се изразяват в нарастване на дела на стартиращите предприятия, разработващи иновации  в тематичните области на ИСИС, в резултат на което ще се повиши иновационния им капацитет и конкурентоспособност.</w:t>
      </w:r>
    </w:p>
    <w:p w:rsidR="002325A3" w:rsidRPr="003C4AB6" w:rsidRDefault="002325A3" w:rsidP="009A534D">
      <w:pPr>
        <w:pStyle w:val="ListParagraph"/>
        <w:spacing w:after="120" w:line="240" w:lineRule="auto"/>
        <w:ind w:left="0"/>
        <w:jc w:val="both"/>
        <w:rPr>
          <w:b/>
          <w:sz w:val="24"/>
          <w:szCs w:val="24"/>
        </w:rPr>
      </w:pPr>
    </w:p>
    <w:p w:rsidR="00776637" w:rsidRPr="003C4AB6" w:rsidRDefault="00776637" w:rsidP="00A90117">
      <w:pPr>
        <w:pStyle w:val="Heading2"/>
        <w:spacing w:before="120" w:after="120"/>
      </w:pPr>
      <w:bookmarkStart w:id="6" w:name="_Toc442298710"/>
      <w:r w:rsidRPr="003C4AB6">
        <w:t>7. Индикатори:</w:t>
      </w:r>
      <w:bookmarkEnd w:id="6"/>
    </w:p>
    <w:p w:rsidR="00776637" w:rsidRPr="003C4AB6" w:rsidRDefault="00776637" w:rsidP="0077663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В съответствие със специфичната </w:t>
      </w:r>
      <w:r w:rsidR="007C2F08" w:rsidRPr="003C4AB6">
        <w:rPr>
          <w:rFonts w:ascii="Calibri" w:eastAsia="Calibri" w:hAnsi="Calibri" w:cs="Times New Roman"/>
          <w:sz w:val="24"/>
          <w:szCs w:val="24"/>
        </w:rPr>
        <w:t xml:space="preserve">цел на Инвестиционен приоритет 1.1 „Технологично </w:t>
      </w:r>
      <w:r w:rsidR="00670B17" w:rsidRPr="003C4AB6">
        <w:rPr>
          <w:rFonts w:ascii="Calibri" w:eastAsia="Calibri" w:hAnsi="Calibri" w:cs="Times New Roman"/>
          <w:sz w:val="24"/>
          <w:szCs w:val="24"/>
        </w:rPr>
        <w:t>развитие и иновации</w:t>
      </w:r>
      <w:r w:rsidRPr="003C4AB6">
        <w:rPr>
          <w:rFonts w:ascii="Calibri" w:eastAsia="Calibri" w:hAnsi="Calibri" w:cs="Times New Roman"/>
          <w:sz w:val="24"/>
          <w:szCs w:val="24"/>
        </w:rPr>
        <w:t xml:space="preserve">“ проектните предложения по настоящата процедура следва задължително да имат принос към постигането на поне един от следните индикатори за резултат: </w:t>
      </w:r>
    </w:p>
    <w:p w:rsidR="00C157C5" w:rsidRPr="003C4AB6" w:rsidRDefault="00C157C5" w:rsidP="0077663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B12E3A" w:rsidRPr="003C4AB6" w:rsidRDefault="00B12E3A" w:rsidP="00B12E3A">
      <w:pPr>
        <w:pBdr>
          <w:top w:val="single" w:sz="4" w:space="1" w:color="auto"/>
          <w:left w:val="single" w:sz="4" w:space="4" w:color="auto"/>
          <w:bottom w:val="single" w:sz="4" w:space="1" w:color="auto"/>
          <w:right w:val="single" w:sz="4" w:space="4" w:color="auto"/>
        </w:pBdr>
        <w:spacing w:before="600" w:after="60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Дял на иновативните предприятия;</w:t>
      </w:r>
    </w:p>
    <w:p w:rsidR="00776637" w:rsidRPr="003C4AB6" w:rsidRDefault="00B12E3A" w:rsidP="00B12E3A">
      <w:pPr>
        <w:pBdr>
          <w:top w:val="single" w:sz="4" w:space="1" w:color="auto"/>
          <w:left w:val="single" w:sz="4" w:space="4" w:color="auto"/>
          <w:bottom w:val="single" w:sz="4" w:space="1" w:color="auto"/>
          <w:right w:val="single" w:sz="4" w:space="4" w:color="auto"/>
        </w:pBdr>
        <w:spacing w:before="600" w:after="60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Разходи за иновации, които не са резултат от НИРД.</w:t>
      </w:r>
    </w:p>
    <w:p w:rsidR="00B12E3A" w:rsidRPr="003C4AB6" w:rsidRDefault="00B12E3A" w:rsidP="00B12E3A">
      <w:pPr>
        <w:pBdr>
          <w:top w:val="single" w:sz="4" w:space="1" w:color="auto"/>
          <w:left w:val="single" w:sz="4" w:space="4" w:color="auto"/>
          <w:bottom w:val="single" w:sz="4" w:space="1" w:color="auto"/>
          <w:right w:val="single" w:sz="4" w:space="4" w:color="auto"/>
        </w:pBdr>
        <w:spacing w:before="600" w:after="600" w:line="240" w:lineRule="auto"/>
        <w:contextualSpacing/>
        <w:jc w:val="both"/>
        <w:rPr>
          <w:rFonts w:ascii="Calibri" w:eastAsia="Calibri" w:hAnsi="Calibri" w:cs="Times New Roman"/>
          <w:sz w:val="24"/>
          <w:szCs w:val="24"/>
        </w:rPr>
      </w:pPr>
    </w:p>
    <w:p w:rsidR="00776637" w:rsidRPr="003C4AB6" w:rsidRDefault="00776637" w:rsidP="0077663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Информацията за постигане на индикаторите ще бъде предоставяна служебно от НСИ. При сключване на договор за предоставяне на безвъзмездна финансова помощ бенефициентът следва да попълни декларация по образец за съгласие за ползване на данни на предприятието за целите на отчитането по </w:t>
      </w:r>
      <w:r w:rsidR="00534621">
        <w:rPr>
          <w:rFonts w:ascii="Calibri" w:eastAsia="Calibri" w:hAnsi="Calibri" w:cs="Times New Roman"/>
          <w:sz w:val="24"/>
          <w:szCs w:val="24"/>
        </w:rPr>
        <w:t>О</w:t>
      </w:r>
      <w:r w:rsidRPr="003C4AB6">
        <w:rPr>
          <w:rFonts w:ascii="Calibri" w:eastAsia="Calibri" w:hAnsi="Calibri" w:cs="Times New Roman"/>
          <w:sz w:val="24"/>
          <w:szCs w:val="24"/>
        </w:rPr>
        <w:t>перативната програма (П</w:t>
      </w:r>
      <w:r w:rsidR="004444B8" w:rsidRPr="003C4AB6">
        <w:rPr>
          <w:rFonts w:ascii="Calibri" w:eastAsia="Calibri" w:hAnsi="Calibri" w:cs="Times New Roman"/>
          <w:sz w:val="24"/>
          <w:szCs w:val="24"/>
        </w:rPr>
        <w:t>риложение И</w:t>
      </w:r>
      <w:r w:rsidR="00F90B02">
        <w:rPr>
          <w:rFonts w:ascii="Calibri" w:eastAsia="Calibri" w:hAnsi="Calibri" w:cs="Times New Roman"/>
          <w:sz w:val="24"/>
          <w:szCs w:val="24"/>
        </w:rPr>
        <w:t xml:space="preserve"> към Условията за изпълнение</w:t>
      </w:r>
      <w:r w:rsidRPr="003C4AB6">
        <w:rPr>
          <w:rFonts w:ascii="Calibri" w:eastAsia="Calibri" w:hAnsi="Calibri" w:cs="Times New Roman"/>
          <w:sz w:val="24"/>
          <w:szCs w:val="24"/>
        </w:rPr>
        <w:t>).</w:t>
      </w:r>
    </w:p>
    <w:p w:rsidR="00776637" w:rsidRPr="003C4AB6" w:rsidRDefault="00776637" w:rsidP="00776637">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76637" w:rsidRPr="003C4AB6" w:rsidRDefault="00776637" w:rsidP="00776637">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Допълнително, УО на ОПИК ще следи за изпълнението и отчитането на следните индикатори за изпълнение: </w:t>
      </w:r>
    </w:p>
    <w:p w:rsidR="00C157C5" w:rsidRPr="003C4AB6" w:rsidRDefault="00C157C5"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D22D3F" w:rsidRPr="003C4AB6" w:rsidRDefault="0094661D"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00D22D3F" w:rsidRPr="003C4AB6">
        <w:rPr>
          <w:rFonts w:ascii="Calibri" w:eastAsia="Calibri" w:hAnsi="Calibri" w:cs="Times New Roman"/>
          <w:sz w:val="24"/>
          <w:szCs w:val="24"/>
        </w:rPr>
        <w:t>Брой на предприятията, получаващи подкрепа;</w:t>
      </w:r>
    </w:p>
    <w:p w:rsidR="00912036" w:rsidRPr="003C4AB6" w:rsidRDefault="00C157C5"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00D22D3F" w:rsidRPr="003C4AB6">
        <w:rPr>
          <w:rFonts w:ascii="Calibri" w:eastAsia="Calibri" w:hAnsi="Calibri" w:cs="Times New Roman"/>
          <w:sz w:val="24"/>
          <w:szCs w:val="24"/>
        </w:rPr>
        <w:t>Частни инвестиции, допълващи публичната подкрепа за иновации или за научноизследователски и развойни проекти.</w:t>
      </w:r>
    </w:p>
    <w:p w:rsidR="00DE0BCB" w:rsidRPr="003C4AB6" w:rsidRDefault="00DE0BCB"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DE0BCB" w:rsidRPr="003C4AB6" w:rsidRDefault="00DE0BCB" w:rsidP="00DE0BC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 xml:space="preserve">В случай че </w:t>
      </w:r>
      <w:r w:rsidR="008B5E05" w:rsidRPr="003C4AB6">
        <w:rPr>
          <w:rFonts w:ascii="Calibri" w:eastAsia="Calibri" w:hAnsi="Calibri" w:cs="Times New Roman"/>
          <w:sz w:val="24"/>
          <w:szCs w:val="24"/>
        </w:rPr>
        <w:t xml:space="preserve">е предвидено разработване на </w:t>
      </w:r>
      <w:proofErr w:type="spellStart"/>
      <w:r w:rsidR="008B5E05" w:rsidRPr="003C4AB6">
        <w:rPr>
          <w:rFonts w:ascii="Calibri" w:eastAsia="Calibri" w:hAnsi="Calibri" w:cs="Times New Roman"/>
          <w:sz w:val="24"/>
          <w:szCs w:val="24"/>
        </w:rPr>
        <w:t>еко-иновации</w:t>
      </w:r>
      <w:proofErr w:type="spellEnd"/>
      <w:r w:rsidR="008B5E05" w:rsidRPr="003C4AB6">
        <w:rPr>
          <w:rFonts w:ascii="Calibri" w:eastAsia="Calibri" w:hAnsi="Calibri" w:cs="Times New Roman"/>
          <w:sz w:val="24"/>
          <w:szCs w:val="24"/>
        </w:rPr>
        <w:t xml:space="preserve"> в рамките на проекта</w:t>
      </w:r>
      <w:r w:rsidRPr="003C4AB6">
        <w:rPr>
          <w:rFonts w:ascii="Calibri" w:eastAsia="Calibri" w:hAnsi="Calibri" w:cs="Times New Roman"/>
          <w:sz w:val="24"/>
          <w:szCs w:val="24"/>
        </w:rPr>
        <w:t>, кандидатите следва да пред</w:t>
      </w:r>
      <w:r w:rsidR="008B5E05" w:rsidRPr="003C4AB6">
        <w:rPr>
          <w:rFonts w:ascii="Calibri" w:eastAsia="Calibri" w:hAnsi="Calibri" w:cs="Times New Roman"/>
          <w:sz w:val="24"/>
          <w:szCs w:val="24"/>
        </w:rPr>
        <w:t>оставят информация и за следния индикатор</w:t>
      </w:r>
      <w:r w:rsidRPr="003C4AB6">
        <w:rPr>
          <w:rFonts w:ascii="Calibri" w:eastAsia="Calibri" w:hAnsi="Calibri" w:cs="Times New Roman"/>
          <w:sz w:val="24"/>
          <w:szCs w:val="24"/>
        </w:rPr>
        <w:t>:</w:t>
      </w:r>
    </w:p>
    <w:p w:rsidR="00C1341A" w:rsidRPr="003C4AB6" w:rsidRDefault="00C1341A" w:rsidP="00DE0BC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10"/>
          <w:szCs w:val="10"/>
          <w:lang w:val="en-US"/>
        </w:rPr>
      </w:pPr>
    </w:p>
    <w:p w:rsidR="00D22D3F" w:rsidRPr="003C4AB6" w:rsidRDefault="00DE0BCB"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roofErr w:type="gramStart"/>
      <w:r w:rsidRPr="003C4AB6">
        <w:rPr>
          <w:rFonts w:ascii="Calibri" w:eastAsia="Calibri" w:hAnsi="Calibri" w:cs="Times New Roman"/>
          <w:sz w:val="24"/>
          <w:szCs w:val="24"/>
          <w:lang w:val="en-US"/>
        </w:rPr>
        <w:t xml:space="preserve">- </w:t>
      </w:r>
      <w:r w:rsidRPr="003C4AB6">
        <w:rPr>
          <w:rFonts w:ascii="Calibri" w:eastAsia="Calibri" w:hAnsi="Calibri" w:cs="Times New Roman"/>
          <w:sz w:val="24"/>
          <w:szCs w:val="24"/>
        </w:rPr>
        <w:t xml:space="preserve">Финансирани проекти за </w:t>
      </w:r>
      <w:proofErr w:type="spellStart"/>
      <w:r w:rsidRPr="003C4AB6">
        <w:rPr>
          <w:rFonts w:ascii="Calibri" w:eastAsia="Calibri" w:hAnsi="Calibri" w:cs="Times New Roman"/>
          <w:sz w:val="24"/>
          <w:szCs w:val="24"/>
        </w:rPr>
        <w:t>еко-иновации</w:t>
      </w:r>
      <w:proofErr w:type="spellEnd"/>
      <w:r w:rsidRPr="003C4AB6">
        <w:rPr>
          <w:rFonts w:ascii="Calibri" w:eastAsia="Calibri" w:hAnsi="Calibri" w:cs="Times New Roman"/>
          <w:sz w:val="24"/>
          <w:szCs w:val="24"/>
        </w:rPr>
        <w:t>.</w:t>
      </w:r>
      <w:proofErr w:type="gramEnd"/>
    </w:p>
    <w:p w:rsidR="00C1341A" w:rsidRPr="003C4AB6" w:rsidRDefault="00C1341A" w:rsidP="00D22D3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10"/>
          <w:szCs w:val="10"/>
        </w:rPr>
      </w:pPr>
    </w:p>
    <w:p w:rsidR="00776637" w:rsidRPr="00E44B9F" w:rsidRDefault="00776637" w:rsidP="0077663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lastRenderedPageBreak/>
        <w:t>В т. 8 от Формуляра за кандидатстване кандидатите следва да попълнят данни за базова</w:t>
      </w:r>
      <w:r w:rsidR="00FB0126">
        <w:rPr>
          <w:rFonts w:ascii="Calibri" w:eastAsia="Calibri" w:hAnsi="Calibri" w:cs="Times New Roman"/>
          <w:sz w:val="24"/>
          <w:szCs w:val="24"/>
        </w:rPr>
        <w:t xml:space="preserve"> и </w:t>
      </w:r>
      <w:r w:rsidRPr="003C4AB6">
        <w:rPr>
          <w:rFonts w:ascii="Calibri" w:eastAsia="Calibri" w:hAnsi="Calibri" w:cs="Times New Roman"/>
          <w:sz w:val="24"/>
          <w:szCs w:val="24"/>
        </w:rPr>
        <w:t xml:space="preserve">целева стойност по горепосочените индикатори за изпълнение в съответствие с Указанията на УО за </w:t>
      </w:r>
      <w:r w:rsidRPr="003C4AB6">
        <w:rPr>
          <w:rFonts w:ascii="Calibri" w:eastAsia="Calibri" w:hAnsi="Calibri" w:cs="Times New Roman"/>
          <w:bCs/>
          <w:sz w:val="24"/>
          <w:szCs w:val="24"/>
        </w:rPr>
        <w:t xml:space="preserve">попълване на електронен формуляр </w:t>
      </w:r>
      <w:r w:rsidR="00C1341A" w:rsidRPr="003C4AB6">
        <w:rPr>
          <w:rFonts w:ascii="Calibri" w:eastAsia="Calibri" w:hAnsi="Calibri" w:cs="Times New Roman"/>
          <w:bCs/>
          <w:sz w:val="24"/>
          <w:szCs w:val="24"/>
        </w:rPr>
        <w:t>за кандидатстване (</w:t>
      </w:r>
      <w:r w:rsidR="004444B8" w:rsidRPr="003C4AB6">
        <w:rPr>
          <w:rFonts w:ascii="Calibri" w:eastAsia="Calibri" w:hAnsi="Calibri" w:cs="Times New Roman"/>
          <w:bCs/>
          <w:sz w:val="24"/>
          <w:szCs w:val="24"/>
        </w:rPr>
        <w:t>Приложение А</w:t>
      </w:r>
      <w:r w:rsidR="00C1341A" w:rsidRPr="003C4AB6">
        <w:rPr>
          <w:rFonts w:ascii="Calibri" w:eastAsia="Calibri" w:hAnsi="Calibri" w:cs="Times New Roman"/>
          <w:bCs/>
          <w:sz w:val="24"/>
          <w:szCs w:val="24"/>
        </w:rPr>
        <w:t>)</w:t>
      </w:r>
      <w:r w:rsidRPr="003C4AB6">
        <w:rPr>
          <w:rFonts w:ascii="Calibri" w:eastAsia="Calibri" w:hAnsi="Calibri" w:cs="Times New Roman"/>
          <w:bCs/>
          <w:sz w:val="24"/>
          <w:szCs w:val="24"/>
        </w:rPr>
        <w:t>.</w:t>
      </w:r>
      <w:r w:rsidRPr="003C4AB6">
        <w:rPr>
          <w:rFonts w:ascii="Calibri" w:eastAsia="Calibri" w:hAnsi="Calibri" w:cs="Times New Roman"/>
          <w:sz w:val="24"/>
          <w:szCs w:val="24"/>
        </w:rPr>
        <w:t xml:space="preserve"> </w:t>
      </w:r>
      <w:r w:rsidR="00D563B8">
        <w:rPr>
          <w:rFonts w:ascii="Calibri" w:eastAsia="Calibri" w:hAnsi="Calibri" w:cs="Times New Roman"/>
          <w:sz w:val="24"/>
          <w:szCs w:val="24"/>
        </w:rPr>
        <w:t>В случай че е приложимо</w:t>
      </w:r>
      <w:r w:rsidR="00315A65">
        <w:rPr>
          <w:rFonts w:ascii="Calibri" w:eastAsia="Calibri" w:hAnsi="Calibri" w:cs="Times New Roman"/>
          <w:sz w:val="24"/>
          <w:szCs w:val="24"/>
        </w:rPr>
        <w:t>, но кандидатите не са предоставили информац</w:t>
      </w:r>
      <w:r w:rsidR="00E44B9F">
        <w:rPr>
          <w:rFonts w:ascii="Calibri" w:eastAsia="Calibri" w:hAnsi="Calibri" w:cs="Times New Roman"/>
          <w:sz w:val="24"/>
          <w:szCs w:val="24"/>
        </w:rPr>
        <w:t xml:space="preserve">ия за </w:t>
      </w:r>
      <w:r w:rsidR="00315A65">
        <w:rPr>
          <w:rFonts w:ascii="Calibri" w:eastAsia="Calibri" w:hAnsi="Calibri" w:cs="Times New Roman"/>
          <w:sz w:val="24"/>
          <w:szCs w:val="24"/>
        </w:rPr>
        <w:t xml:space="preserve">индикатор „Финансирани проекти за </w:t>
      </w:r>
      <w:proofErr w:type="spellStart"/>
      <w:r w:rsidR="00315A65">
        <w:rPr>
          <w:rFonts w:ascii="Calibri" w:eastAsia="Calibri" w:hAnsi="Calibri" w:cs="Times New Roman"/>
          <w:sz w:val="24"/>
          <w:szCs w:val="24"/>
        </w:rPr>
        <w:t>екоиновации</w:t>
      </w:r>
      <w:proofErr w:type="spellEnd"/>
      <w:r w:rsidR="00315A65">
        <w:rPr>
          <w:rFonts w:ascii="Calibri" w:eastAsia="Calibri" w:hAnsi="Calibri" w:cs="Times New Roman"/>
          <w:sz w:val="24"/>
          <w:szCs w:val="24"/>
        </w:rPr>
        <w:t xml:space="preserve">“, </w:t>
      </w:r>
      <w:r w:rsidR="00E44B9F">
        <w:rPr>
          <w:rFonts w:ascii="Calibri" w:eastAsia="Calibri" w:hAnsi="Calibri" w:cs="Times New Roman"/>
          <w:sz w:val="24"/>
          <w:szCs w:val="24"/>
        </w:rPr>
        <w:t xml:space="preserve">проектното предложение няма да получи точки по показател </w:t>
      </w:r>
      <w:r w:rsidR="00E44B9F">
        <w:rPr>
          <w:rFonts w:ascii="Calibri" w:eastAsia="Times New Roman" w:hAnsi="Calibri" w:cs="Calibri"/>
          <w:sz w:val="24"/>
          <w:szCs w:val="24"/>
          <w:lang w:eastAsia="pl-PL"/>
        </w:rPr>
        <w:t>4</w:t>
      </w:r>
      <w:r w:rsidR="00E44B9F" w:rsidRPr="00E44B9F">
        <w:rPr>
          <w:rFonts w:ascii="Calibri" w:eastAsia="Times New Roman" w:hAnsi="Calibri" w:cs="Calibri"/>
          <w:sz w:val="24"/>
          <w:szCs w:val="24"/>
          <w:lang w:eastAsia="pl-PL"/>
        </w:rPr>
        <w:t xml:space="preserve"> </w:t>
      </w:r>
      <w:r w:rsidR="00E44B9F">
        <w:rPr>
          <w:rFonts w:ascii="Calibri" w:eastAsia="Times New Roman" w:hAnsi="Calibri" w:cs="Calibri"/>
          <w:sz w:val="24"/>
          <w:szCs w:val="24"/>
          <w:lang w:eastAsia="pl-PL"/>
        </w:rPr>
        <w:t>„</w:t>
      </w:r>
      <w:r w:rsidR="00E44B9F" w:rsidRPr="00E44B9F">
        <w:rPr>
          <w:rFonts w:ascii="Calibri" w:eastAsia="Times New Roman" w:hAnsi="Calibri" w:cs="Calibri"/>
          <w:sz w:val="24"/>
          <w:szCs w:val="24"/>
          <w:lang w:eastAsia="pl-PL"/>
        </w:rPr>
        <w:t xml:space="preserve">Подкрепа за </w:t>
      </w:r>
      <w:proofErr w:type="spellStart"/>
      <w:r w:rsidR="00E44B9F" w:rsidRPr="00E44B9F">
        <w:rPr>
          <w:rFonts w:ascii="Calibri" w:eastAsia="Times New Roman" w:hAnsi="Calibri" w:cs="Calibri"/>
          <w:sz w:val="24"/>
          <w:szCs w:val="24"/>
          <w:lang w:eastAsia="pl-PL"/>
        </w:rPr>
        <w:t>еко-иновации</w:t>
      </w:r>
      <w:proofErr w:type="spellEnd"/>
      <w:r w:rsidR="00E44B9F">
        <w:rPr>
          <w:rFonts w:ascii="Calibri" w:eastAsia="Times New Roman" w:hAnsi="Calibri" w:cs="Calibri"/>
          <w:sz w:val="24"/>
          <w:szCs w:val="24"/>
          <w:lang w:eastAsia="pl-PL"/>
        </w:rPr>
        <w:t xml:space="preserve">“ от раздел </w:t>
      </w:r>
      <w:r w:rsidR="00E44B9F">
        <w:rPr>
          <w:rFonts w:ascii="Calibri" w:eastAsia="Times New Roman" w:hAnsi="Calibri" w:cs="Calibri"/>
          <w:sz w:val="24"/>
          <w:szCs w:val="24"/>
          <w:lang w:val="en-US" w:eastAsia="pl-PL"/>
        </w:rPr>
        <w:t xml:space="preserve">III </w:t>
      </w:r>
      <w:r w:rsidR="00E44B9F">
        <w:rPr>
          <w:rFonts w:ascii="Calibri" w:eastAsia="Times New Roman" w:hAnsi="Calibri" w:cs="Calibri"/>
          <w:sz w:val="24"/>
          <w:szCs w:val="24"/>
          <w:lang w:eastAsia="pl-PL"/>
        </w:rPr>
        <w:t>„</w:t>
      </w:r>
      <w:proofErr w:type="spellStart"/>
      <w:r w:rsidR="00E44B9F">
        <w:rPr>
          <w:rFonts w:ascii="Calibri" w:eastAsia="Times New Roman" w:hAnsi="Calibri" w:cs="Calibri"/>
          <w:sz w:val="24"/>
          <w:szCs w:val="24"/>
          <w:lang w:eastAsia="pl-PL"/>
        </w:rPr>
        <w:t>Приоритизиране</w:t>
      </w:r>
      <w:proofErr w:type="spellEnd"/>
      <w:r w:rsidR="00E44B9F">
        <w:rPr>
          <w:rFonts w:ascii="Calibri" w:eastAsia="Times New Roman" w:hAnsi="Calibri" w:cs="Calibri"/>
          <w:sz w:val="24"/>
          <w:szCs w:val="24"/>
          <w:lang w:eastAsia="pl-PL"/>
        </w:rPr>
        <w:t xml:space="preserve"> на проекти“.</w:t>
      </w:r>
    </w:p>
    <w:p w:rsidR="00BF4819" w:rsidRPr="003C4AB6" w:rsidRDefault="00BF4819" w:rsidP="0077663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E26304" w:rsidRPr="003C4AB6" w:rsidRDefault="006615D5" w:rsidP="006615D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b/>
          <w:sz w:val="24"/>
          <w:szCs w:val="24"/>
        </w:rPr>
        <w:t>ВАЖНО:</w:t>
      </w:r>
      <w:r w:rsidRPr="003C4AB6">
        <w:rPr>
          <w:rFonts w:ascii="Calibri" w:eastAsia="Calibri" w:hAnsi="Calibri" w:cs="Times New Roman"/>
          <w:sz w:val="24"/>
          <w:szCs w:val="24"/>
        </w:rPr>
        <w:t xml:space="preserve"> Повече информация по отчитането на индикаторите за резултат и изпълнение по ОПИК е дадена в </w:t>
      </w:r>
      <w:proofErr w:type="spellStart"/>
      <w:r w:rsidRPr="003C4AB6">
        <w:rPr>
          <w:rFonts w:ascii="Calibri" w:eastAsia="Calibri" w:hAnsi="Calibri" w:cs="Times New Roman"/>
          <w:sz w:val="24"/>
          <w:szCs w:val="24"/>
        </w:rPr>
        <w:t>Методологическите</w:t>
      </w:r>
      <w:proofErr w:type="spellEnd"/>
      <w:r w:rsidRPr="003C4AB6">
        <w:rPr>
          <w:rFonts w:ascii="Calibri" w:eastAsia="Calibri" w:hAnsi="Calibri" w:cs="Times New Roman"/>
          <w:sz w:val="24"/>
          <w:szCs w:val="24"/>
        </w:rPr>
        <w:t xml:space="preserve"> насоки за отчитането на индикаторите за резултат и изпълнение по ОПИК, разработени от Управляващия орган и НСИ, публикувани на следния интернет адрес: </w:t>
      </w:r>
    </w:p>
    <w:p w:rsidR="006615D5" w:rsidRPr="003C4AB6" w:rsidRDefault="006615D5" w:rsidP="006615D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http://www.opcompetitiveness.bg/module3.php?menu_id=360.</w:t>
      </w:r>
    </w:p>
    <w:p w:rsidR="00A90117" w:rsidRPr="008D53F6" w:rsidRDefault="00A90117" w:rsidP="00230C80">
      <w:pPr>
        <w:pStyle w:val="Heading2"/>
        <w:spacing w:before="0" w:after="120"/>
        <w:rPr>
          <w:sz w:val="10"/>
          <w:szCs w:val="10"/>
        </w:rPr>
      </w:pPr>
    </w:p>
    <w:p w:rsidR="00CB14EE" w:rsidRPr="003C4AB6" w:rsidRDefault="004A58E5" w:rsidP="00230C80">
      <w:pPr>
        <w:pStyle w:val="Heading2"/>
        <w:spacing w:before="0" w:after="120"/>
      </w:pPr>
      <w:bookmarkStart w:id="7" w:name="_Toc442298711"/>
      <w:r w:rsidRPr="003C4AB6">
        <w:t>8</w:t>
      </w:r>
      <w:r w:rsidR="000115A9" w:rsidRPr="003C4AB6">
        <w:t>. Общ размер на безвъзмездната финансова помощ по процедурата:</w:t>
      </w:r>
      <w:bookmarkEnd w:id="7"/>
    </w:p>
    <w:p w:rsidR="00813354" w:rsidRPr="003C4AB6" w:rsidRDefault="00763554" w:rsidP="00F27D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Общият размер на безвъзмездната финансова помощ по процедура за п</w:t>
      </w:r>
      <w:r w:rsidR="00487971" w:rsidRPr="003C4AB6">
        <w:rPr>
          <w:sz w:val="24"/>
          <w:szCs w:val="24"/>
        </w:rPr>
        <w:t>одбор на проекти</w:t>
      </w:r>
      <w:r w:rsidR="00D87CE5">
        <w:rPr>
          <w:sz w:val="24"/>
          <w:szCs w:val="24"/>
        </w:rPr>
        <w:t xml:space="preserve"> </w:t>
      </w:r>
      <w:r w:rsidR="00D87CE5" w:rsidRPr="00D87CE5">
        <w:rPr>
          <w:sz w:val="24"/>
          <w:szCs w:val="24"/>
        </w:rPr>
        <w:t>BG16RFOP002-1.00</w:t>
      </w:r>
      <w:r w:rsidR="00D67C57">
        <w:rPr>
          <w:sz w:val="24"/>
          <w:szCs w:val="24"/>
        </w:rPr>
        <w:t>2</w:t>
      </w:r>
      <w:r w:rsidR="00487971" w:rsidRPr="003C4AB6">
        <w:rPr>
          <w:sz w:val="24"/>
          <w:szCs w:val="24"/>
        </w:rPr>
        <w:t xml:space="preserve"> „Подкрепа за </w:t>
      </w:r>
      <w:r w:rsidR="008321BE" w:rsidRPr="003C4AB6">
        <w:rPr>
          <w:sz w:val="24"/>
          <w:szCs w:val="24"/>
        </w:rPr>
        <w:t>разработване на иновации от стартиращи предприятия</w:t>
      </w:r>
      <w:r w:rsidRPr="003C4AB6">
        <w:rPr>
          <w:sz w:val="24"/>
          <w:szCs w:val="24"/>
        </w:rPr>
        <w:t>” е както следва:</w:t>
      </w:r>
    </w:p>
    <w:p w:rsidR="00813354" w:rsidRPr="003C4AB6" w:rsidRDefault="00813354" w:rsidP="00F27D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tbl>
      <w:tblPr>
        <w:tblStyle w:val="TableGrid"/>
        <w:tblW w:w="9606" w:type="dxa"/>
        <w:tblLook w:val="04A0" w:firstRow="1" w:lastRow="0" w:firstColumn="1" w:lastColumn="0" w:noHBand="0" w:noVBand="1"/>
      </w:tblPr>
      <w:tblGrid>
        <w:gridCol w:w="3165"/>
        <w:gridCol w:w="3165"/>
        <w:gridCol w:w="3276"/>
      </w:tblGrid>
      <w:tr w:rsidR="00682B05" w:rsidRPr="003C4AB6" w:rsidTr="00682B05">
        <w:tc>
          <w:tcPr>
            <w:tcW w:w="3165" w:type="dxa"/>
            <w:shd w:val="clear" w:color="auto" w:fill="D9D9D9" w:themeFill="background1" w:themeFillShade="D9"/>
            <w:vAlign w:val="center"/>
          </w:tcPr>
          <w:p w:rsidR="00682B05" w:rsidRPr="003C4AB6" w:rsidRDefault="00682B05" w:rsidP="00682B05">
            <w:pPr>
              <w:pStyle w:val="ListParagraph"/>
              <w:spacing w:after="360"/>
              <w:ind w:left="0"/>
              <w:jc w:val="center"/>
              <w:rPr>
                <w:rFonts w:asciiTheme="minorHAnsi" w:hAnsiTheme="minorHAnsi" w:cstheme="minorHAnsi"/>
                <w:b/>
                <w:sz w:val="24"/>
                <w:szCs w:val="24"/>
              </w:rPr>
            </w:pPr>
            <w:r w:rsidRPr="003C4AB6">
              <w:rPr>
                <w:rFonts w:asciiTheme="minorHAnsi" w:hAnsiTheme="minorHAnsi" w:cstheme="minorHAnsi"/>
                <w:b/>
                <w:sz w:val="24"/>
                <w:szCs w:val="24"/>
              </w:rPr>
              <w:t>Общ размер на безвъзмездната финансова помощ</w:t>
            </w:r>
          </w:p>
        </w:tc>
        <w:tc>
          <w:tcPr>
            <w:tcW w:w="3165" w:type="dxa"/>
            <w:shd w:val="clear" w:color="auto" w:fill="D9D9D9" w:themeFill="background1" w:themeFillShade="D9"/>
            <w:vAlign w:val="center"/>
          </w:tcPr>
          <w:p w:rsidR="00682B05" w:rsidRPr="003C4AB6" w:rsidRDefault="00E00D4B" w:rsidP="00682B05">
            <w:pPr>
              <w:pStyle w:val="ListParagraph"/>
              <w:spacing w:after="360"/>
              <w:ind w:left="0"/>
              <w:jc w:val="center"/>
              <w:rPr>
                <w:rFonts w:asciiTheme="minorHAnsi" w:hAnsiTheme="minorHAnsi" w:cstheme="minorHAnsi"/>
                <w:b/>
                <w:sz w:val="24"/>
                <w:szCs w:val="24"/>
              </w:rPr>
            </w:pPr>
            <w:r w:rsidRPr="003C4AB6">
              <w:rPr>
                <w:rFonts w:asciiTheme="minorHAnsi" w:hAnsiTheme="minorHAnsi" w:cstheme="minorHAnsi"/>
                <w:b/>
                <w:sz w:val="24"/>
                <w:szCs w:val="24"/>
              </w:rPr>
              <w:t>Финансиране от Европейския фонд за регионално развитие</w:t>
            </w:r>
          </w:p>
        </w:tc>
        <w:tc>
          <w:tcPr>
            <w:tcW w:w="3276" w:type="dxa"/>
            <w:shd w:val="clear" w:color="auto" w:fill="D9D9D9" w:themeFill="background1" w:themeFillShade="D9"/>
            <w:vAlign w:val="center"/>
          </w:tcPr>
          <w:p w:rsidR="000A6182" w:rsidRPr="003C4AB6" w:rsidRDefault="000A6182" w:rsidP="00682B05">
            <w:pPr>
              <w:pStyle w:val="ListParagraph"/>
              <w:spacing w:after="360"/>
              <w:ind w:left="0"/>
              <w:jc w:val="center"/>
              <w:rPr>
                <w:rFonts w:asciiTheme="minorHAnsi" w:hAnsiTheme="minorHAnsi" w:cstheme="minorHAnsi"/>
                <w:b/>
                <w:sz w:val="24"/>
                <w:szCs w:val="24"/>
              </w:rPr>
            </w:pPr>
          </w:p>
          <w:p w:rsidR="000A6182" w:rsidRPr="003C4AB6" w:rsidRDefault="000A6182" w:rsidP="00682B05">
            <w:pPr>
              <w:pStyle w:val="ListParagraph"/>
              <w:spacing w:after="360"/>
              <w:ind w:left="0"/>
              <w:jc w:val="center"/>
              <w:rPr>
                <w:rFonts w:asciiTheme="minorHAnsi" w:hAnsiTheme="minorHAnsi" w:cstheme="minorHAnsi"/>
                <w:b/>
                <w:sz w:val="24"/>
                <w:szCs w:val="24"/>
              </w:rPr>
            </w:pPr>
            <w:r w:rsidRPr="003C4AB6">
              <w:rPr>
                <w:rFonts w:asciiTheme="minorHAnsi" w:hAnsiTheme="minorHAnsi" w:cstheme="minorHAnsi"/>
                <w:b/>
                <w:sz w:val="24"/>
                <w:szCs w:val="24"/>
              </w:rPr>
              <w:t xml:space="preserve">Национално </w:t>
            </w:r>
          </w:p>
          <w:p w:rsidR="00682B05" w:rsidRPr="003C4AB6" w:rsidRDefault="000A6182" w:rsidP="00682B05">
            <w:pPr>
              <w:pStyle w:val="ListParagraph"/>
              <w:spacing w:after="360"/>
              <w:ind w:left="0"/>
              <w:jc w:val="center"/>
              <w:rPr>
                <w:rFonts w:asciiTheme="minorHAnsi" w:hAnsiTheme="minorHAnsi" w:cstheme="minorHAnsi"/>
                <w:b/>
                <w:sz w:val="24"/>
                <w:szCs w:val="24"/>
              </w:rPr>
            </w:pPr>
            <w:proofErr w:type="spellStart"/>
            <w:r w:rsidRPr="003C4AB6">
              <w:rPr>
                <w:rFonts w:asciiTheme="minorHAnsi" w:hAnsiTheme="minorHAnsi" w:cstheme="minorHAnsi"/>
                <w:b/>
                <w:sz w:val="24"/>
                <w:szCs w:val="24"/>
              </w:rPr>
              <w:t>съфинансиране</w:t>
            </w:r>
            <w:proofErr w:type="spellEnd"/>
          </w:p>
        </w:tc>
      </w:tr>
      <w:tr w:rsidR="00682B05" w:rsidRPr="003C4AB6" w:rsidTr="00682B05">
        <w:tc>
          <w:tcPr>
            <w:tcW w:w="3165" w:type="dxa"/>
          </w:tcPr>
          <w:p w:rsidR="00682B05" w:rsidRPr="003C4AB6" w:rsidRDefault="00682B05" w:rsidP="00937856">
            <w:pPr>
              <w:pStyle w:val="ListParagraph"/>
              <w:spacing w:after="360"/>
              <w:ind w:left="0"/>
              <w:jc w:val="center"/>
              <w:rPr>
                <w:rFonts w:asciiTheme="minorHAnsi" w:hAnsiTheme="minorHAnsi" w:cstheme="minorHAnsi"/>
                <w:sz w:val="24"/>
                <w:szCs w:val="24"/>
              </w:rPr>
            </w:pPr>
          </w:p>
          <w:p w:rsidR="008321BE" w:rsidRPr="003C4AB6" w:rsidRDefault="008321BE" w:rsidP="00937856">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 xml:space="preserve">19 558 300 лева </w:t>
            </w:r>
          </w:p>
          <w:p w:rsidR="00682B05" w:rsidRPr="003C4AB6" w:rsidRDefault="008321BE" w:rsidP="00937856">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10 000 </w:t>
            </w:r>
            <w:proofErr w:type="spellStart"/>
            <w:r w:rsidRPr="003C4AB6">
              <w:rPr>
                <w:rFonts w:asciiTheme="minorHAnsi" w:hAnsiTheme="minorHAnsi" w:cstheme="minorHAnsi"/>
                <w:sz w:val="24"/>
                <w:szCs w:val="24"/>
              </w:rPr>
              <w:t>000</w:t>
            </w:r>
            <w:proofErr w:type="spellEnd"/>
            <w:r w:rsidRPr="003C4AB6">
              <w:rPr>
                <w:rFonts w:asciiTheme="minorHAnsi" w:hAnsiTheme="minorHAnsi" w:cstheme="minorHAnsi"/>
                <w:sz w:val="24"/>
                <w:szCs w:val="24"/>
              </w:rPr>
              <w:t xml:space="preserve"> евро</w:t>
            </w:r>
          </w:p>
        </w:tc>
        <w:tc>
          <w:tcPr>
            <w:tcW w:w="3165" w:type="dxa"/>
          </w:tcPr>
          <w:p w:rsidR="00682B05" w:rsidRPr="003C4AB6" w:rsidRDefault="00682B05" w:rsidP="00937856">
            <w:pPr>
              <w:pStyle w:val="ListParagraph"/>
              <w:spacing w:after="360"/>
              <w:ind w:left="0"/>
              <w:jc w:val="center"/>
              <w:rPr>
                <w:rFonts w:asciiTheme="minorHAnsi" w:hAnsiTheme="minorHAnsi" w:cstheme="minorHAnsi"/>
                <w:sz w:val="24"/>
                <w:szCs w:val="24"/>
              </w:rPr>
            </w:pPr>
          </w:p>
          <w:p w:rsidR="00E00D4B" w:rsidRPr="003C4AB6" w:rsidRDefault="00E00D4B" w:rsidP="00937856">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16 624 555 лева</w:t>
            </w:r>
          </w:p>
          <w:p w:rsidR="0002165A" w:rsidRPr="003C4AB6" w:rsidRDefault="00E00D4B" w:rsidP="00937856">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8 500 000 евро</w:t>
            </w:r>
          </w:p>
        </w:tc>
        <w:tc>
          <w:tcPr>
            <w:tcW w:w="3276" w:type="dxa"/>
          </w:tcPr>
          <w:p w:rsidR="00682B05" w:rsidRPr="003C4AB6" w:rsidRDefault="00682B05" w:rsidP="00937856">
            <w:pPr>
              <w:pStyle w:val="ListParagraph"/>
              <w:spacing w:after="360"/>
              <w:ind w:left="0"/>
              <w:jc w:val="center"/>
              <w:rPr>
                <w:rFonts w:asciiTheme="minorHAnsi" w:hAnsiTheme="minorHAnsi" w:cstheme="minorHAnsi"/>
                <w:sz w:val="24"/>
                <w:szCs w:val="24"/>
              </w:rPr>
            </w:pPr>
          </w:p>
          <w:p w:rsidR="000A6182" w:rsidRPr="003C4AB6" w:rsidRDefault="000A6182" w:rsidP="00AA51E0">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 xml:space="preserve">2 933 745 лева </w:t>
            </w:r>
          </w:p>
          <w:p w:rsidR="0002165A" w:rsidRPr="003C4AB6" w:rsidRDefault="000A6182" w:rsidP="00AA51E0">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1 500 000 евро</w:t>
            </w:r>
          </w:p>
        </w:tc>
      </w:tr>
    </w:tbl>
    <w:p w:rsidR="002325A3" w:rsidRPr="008D53F6" w:rsidRDefault="002325A3" w:rsidP="002325A3">
      <w:pPr>
        <w:pStyle w:val="ListParagraph"/>
        <w:spacing w:after="360" w:line="240" w:lineRule="auto"/>
        <w:ind w:left="0"/>
        <w:jc w:val="both"/>
        <w:rPr>
          <w:b/>
          <w:sz w:val="10"/>
          <w:szCs w:val="10"/>
          <w:lang w:val="en-US"/>
        </w:rPr>
      </w:pPr>
      <w:r w:rsidRPr="008D53F6">
        <w:rPr>
          <w:b/>
          <w:sz w:val="10"/>
          <w:szCs w:val="10"/>
        </w:rPr>
        <w:t xml:space="preserve"> </w:t>
      </w:r>
    </w:p>
    <w:p w:rsidR="00BA2E00" w:rsidRPr="003C4AB6" w:rsidRDefault="004A58E5" w:rsidP="00707733">
      <w:pPr>
        <w:pStyle w:val="Heading2"/>
        <w:spacing w:before="0" w:after="120"/>
      </w:pPr>
      <w:bookmarkStart w:id="8" w:name="_Toc442298712"/>
      <w:r w:rsidRPr="003C4AB6">
        <w:t>9</w:t>
      </w:r>
      <w:r w:rsidR="002325A3" w:rsidRPr="003C4AB6">
        <w:t xml:space="preserve">. </w:t>
      </w:r>
      <w:r w:rsidR="00BA2E00" w:rsidRPr="003C4AB6">
        <w:t>Минимален и максимален размер на безвъзмездната финансова помощ за конкретен проект:</w:t>
      </w:r>
      <w:bookmarkEnd w:id="8"/>
    </w:p>
    <w:p w:rsidR="00402F8C" w:rsidRDefault="00BC7972" w:rsidP="0070773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lang w:val="en-US"/>
        </w:rPr>
      </w:pPr>
      <w:r w:rsidRPr="003C4AB6">
        <w:rPr>
          <w:sz w:val="24"/>
          <w:szCs w:val="24"/>
        </w:rPr>
        <w:t>Минималният и максималният</w:t>
      </w:r>
      <w:r w:rsidR="00402F8C" w:rsidRPr="003C4AB6">
        <w:rPr>
          <w:sz w:val="24"/>
          <w:szCs w:val="24"/>
        </w:rPr>
        <w:t xml:space="preserve"> размер </w:t>
      </w:r>
      <w:r w:rsidRPr="003C4AB6">
        <w:rPr>
          <w:sz w:val="24"/>
          <w:szCs w:val="24"/>
        </w:rPr>
        <w:t xml:space="preserve">на заявената безвъзмездна финансова помощ по процедура за подбор на проекти </w:t>
      </w:r>
      <w:r w:rsidR="00D67C57">
        <w:rPr>
          <w:sz w:val="24"/>
          <w:szCs w:val="24"/>
        </w:rPr>
        <w:t>BG16RFOP002-1.002</w:t>
      </w:r>
      <w:r w:rsidR="00D87CE5" w:rsidRPr="00D87CE5">
        <w:rPr>
          <w:sz w:val="24"/>
          <w:szCs w:val="24"/>
        </w:rPr>
        <w:t xml:space="preserve"> </w:t>
      </w:r>
      <w:r w:rsidRPr="003C4AB6">
        <w:rPr>
          <w:sz w:val="24"/>
          <w:szCs w:val="24"/>
        </w:rPr>
        <w:t>„Подкрепа за разработване на иновации от стартиращи предприятия” са както следва:</w:t>
      </w:r>
    </w:p>
    <w:p w:rsidR="008D53F6" w:rsidRPr="008D53F6" w:rsidRDefault="008D53F6" w:rsidP="0070773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lang w:val="en-US"/>
        </w:rPr>
      </w:pPr>
    </w:p>
    <w:tbl>
      <w:tblPr>
        <w:tblStyle w:val="TableGrid"/>
        <w:tblW w:w="9606" w:type="dxa"/>
        <w:tblLook w:val="04A0" w:firstRow="1" w:lastRow="0" w:firstColumn="1" w:lastColumn="0" w:noHBand="0" w:noVBand="1"/>
      </w:tblPr>
      <w:tblGrid>
        <w:gridCol w:w="4644"/>
        <w:gridCol w:w="4962"/>
      </w:tblGrid>
      <w:tr w:rsidR="00665615" w:rsidRPr="003C4AB6" w:rsidTr="001D5B9A">
        <w:trPr>
          <w:trHeight w:val="285"/>
        </w:trPr>
        <w:tc>
          <w:tcPr>
            <w:tcW w:w="4644" w:type="dxa"/>
            <w:shd w:val="clear" w:color="auto" w:fill="D9D9D9" w:themeFill="background1" w:themeFillShade="D9"/>
            <w:vAlign w:val="center"/>
          </w:tcPr>
          <w:p w:rsidR="00665615" w:rsidRPr="003C4AB6" w:rsidRDefault="00BC7972" w:rsidP="00BC7972">
            <w:pPr>
              <w:pStyle w:val="ListParagraph"/>
              <w:spacing w:after="360"/>
              <w:ind w:left="0"/>
              <w:jc w:val="center"/>
              <w:rPr>
                <w:rFonts w:asciiTheme="minorHAnsi" w:hAnsiTheme="minorHAnsi" w:cstheme="minorHAnsi"/>
                <w:b/>
                <w:sz w:val="24"/>
                <w:szCs w:val="24"/>
              </w:rPr>
            </w:pPr>
            <w:r w:rsidRPr="003C4AB6">
              <w:rPr>
                <w:rFonts w:asciiTheme="minorHAnsi" w:hAnsiTheme="minorHAnsi" w:cstheme="minorHAnsi"/>
                <w:b/>
                <w:sz w:val="24"/>
                <w:szCs w:val="24"/>
              </w:rPr>
              <w:t xml:space="preserve">Минимален размер на заявената безвъзмездна финансова помощ </w:t>
            </w:r>
          </w:p>
        </w:tc>
        <w:tc>
          <w:tcPr>
            <w:tcW w:w="4962" w:type="dxa"/>
            <w:shd w:val="clear" w:color="auto" w:fill="D9D9D9" w:themeFill="background1" w:themeFillShade="D9"/>
            <w:vAlign w:val="center"/>
          </w:tcPr>
          <w:p w:rsidR="00665615" w:rsidRPr="003C4AB6" w:rsidRDefault="00665615" w:rsidP="001D5B9A">
            <w:pPr>
              <w:pStyle w:val="ListParagraph"/>
              <w:spacing w:after="360"/>
              <w:ind w:left="0"/>
              <w:jc w:val="center"/>
              <w:rPr>
                <w:rFonts w:asciiTheme="minorHAnsi" w:hAnsiTheme="minorHAnsi" w:cstheme="minorHAnsi"/>
                <w:b/>
                <w:sz w:val="24"/>
                <w:szCs w:val="24"/>
              </w:rPr>
            </w:pPr>
          </w:p>
          <w:p w:rsidR="00665615" w:rsidRPr="003C4AB6" w:rsidRDefault="00BC7972" w:rsidP="001D5B9A">
            <w:pPr>
              <w:pStyle w:val="ListParagraph"/>
              <w:spacing w:after="360"/>
              <w:ind w:left="0"/>
              <w:jc w:val="center"/>
              <w:rPr>
                <w:rFonts w:asciiTheme="minorHAnsi" w:hAnsiTheme="minorHAnsi" w:cstheme="minorHAnsi"/>
                <w:b/>
                <w:sz w:val="24"/>
                <w:szCs w:val="24"/>
              </w:rPr>
            </w:pPr>
            <w:r w:rsidRPr="003C4AB6">
              <w:rPr>
                <w:rFonts w:asciiTheme="minorHAnsi" w:hAnsiTheme="minorHAnsi" w:cstheme="minorHAnsi"/>
                <w:b/>
                <w:sz w:val="24"/>
                <w:szCs w:val="24"/>
              </w:rPr>
              <w:t>Максимален размер на заявената безвъзмездна финансова помощ</w:t>
            </w:r>
          </w:p>
        </w:tc>
      </w:tr>
      <w:tr w:rsidR="00665615" w:rsidRPr="003C4AB6" w:rsidTr="00B732DF">
        <w:tc>
          <w:tcPr>
            <w:tcW w:w="4644" w:type="dxa"/>
            <w:vAlign w:val="center"/>
          </w:tcPr>
          <w:p w:rsidR="00355A75" w:rsidRPr="003C4AB6" w:rsidRDefault="00355A75" w:rsidP="00D004E5">
            <w:pPr>
              <w:pStyle w:val="ListParagraph"/>
              <w:spacing w:after="360"/>
              <w:ind w:left="0"/>
              <w:jc w:val="center"/>
              <w:rPr>
                <w:rFonts w:asciiTheme="minorHAnsi" w:hAnsiTheme="minorHAnsi" w:cstheme="minorHAnsi"/>
                <w:sz w:val="24"/>
                <w:szCs w:val="24"/>
              </w:rPr>
            </w:pPr>
          </w:p>
          <w:p w:rsidR="00B732DF" w:rsidRPr="003C4AB6" w:rsidRDefault="00355A75" w:rsidP="00D004E5">
            <w:pPr>
              <w:pStyle w:val="ListParagraph"/>
              <w:spacing w:after="360"/>
              <w:ind w:left="0"/>
              <w:jc w:val="center"/>
              <w:rPr>
                <w:rFonts w:asciiTheme="minorHAnsi" w:hAnsiTheme="minorHAnsi" w:cstheme="minorHAnsi"/>
                <w:sz w:val="24"/>
                <w:szCs w:val="24"/>
              </w:rPr>
            </w:pPr>
            <w:r w:rsidRPr="003C4AB6">
              <w:rPr>
                <w:rFonts w:asciiTheme="minorHAnsi" w:hAnsiTheme="minorHAnsi" w:cstheme="minorHAnsi"/>
                <w:sz w:val="24"/>
                <w:szCs w:val="24"/>
              </w:rPr>
              <w:t>50 000 лева</w:t>
            </w:r>
          </w:p>
          <w:p w:rsidR="00355A75" w:rsidRPr="003C4AB6" w:rsidRDefault="00355A75" w:rsidP="00D004E5">
            <w:pPr>
              <w:pStyle w:val="ListParagraph"/>
              <w:spacing w:after="360"/>
              <w:ind w:left="0"/>
              <w:jc w:val="center"/>
              <w:rPr>
                <w:rFonts w:asciiTheme="minorHAnsi" w:hAnsiTheme="minorHAnsi" w:cstheme="minorHAnsi"/>
                <w:sz w:val="24"/>
                <w:szCs w:val="24"/>
                <w:lang w:val="en-US"/>
              </w:rPr>
            </w:pPr>
          </w:p>
        </w:tc>
        <w:tc>
          <w:tcPr>
            <w:tcW w:w="4962" w:type="dxa"/>
            <w:vAlign w:val="center"/>
          </w:tcPr>
          <w:p w:rsidR="008D53F6" w:rsidRDefault="008D53F6" w:rsidP="00D004E5">
            <w:pPr>
              <w:pStyle w:val="ListParagraph"/>
              <w:spacing w:after="360"/>
              <w:ind w:left="0"/>
              <w:jc w:val="center"/>
              <w:rPr>
                <w:rFonts w:asciiTheme="minorHAnsi" w:hAnsiTheme="minorHAnsi" w:cstheme="minorHAnsi"/>
                <w:sz w:val="24"/>
                <w:szCs w:val="24"/>
                <w:lang w:val="en-US"/>
              </w:rPr>
            </w:pPr>
          </w:p>
          <w:p w:rsidR="00665615" w:rsidRPr="003C4AB6" w:rsidRDefault="00355A75" w:rsidP="00D004E5">
            <w:pPr>
              <w:pStyle w:val="ListParagraph"/>
              <w:spacing w:after="360"/>
              <w:ind w:left="0"/>
              <w:jc w:val="center"/>
              <w:rPr>
                <w:rFonts w:asciiTheme="minorHAnsi" w:hAnsiTheme="minorHAnsi" w:cstheme="minorHAnsi"/>
                <w:sz w:val="24"/>
                <w:szCs w:val="24"/>
                <w:lang w:val="en-US"/>
              </w:rPr>
            </w:pPr>
            <w:r w:rsidRPr="003C4AB6">
              <w:rPr>
                <w:rFonts w:asciiTheme="minorHAnsi" w:hAnsiTheme="minorHAnsi" w:cstheme="minorHAnsi"/>
                <w:sz w:val="24"/>
                <w:szCs w:val="24"/>
              </w:rPr>
              <w:t xml:space="preserve">391 166 </w:t>
            </w:r>
            <w:r w:rsidR="00D004E5" w:rsidRPr="003C4AB6">
              <w:rPr>
                <w:rFonts w:asciiTheme="minorHAnsi" w:hAnsiTheme="minorHAnsi" w:cstheme="minorHAnsi"/>
                <w:sz w:val="24"/>
                <w:szCs w:val="24"/>
              </w:rPr>
              <w:t>лева</w:t>
            </w:r>
          </w:p>
        </w:tc>
      </w:tr>
    </w:tbl>
    <w:p w:rsidR="009549FF" w:rsidRPr="003C4AB6" w:rsidRDefault="009549FF"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p>
    <w:p w:rsidR="00111D0D" w:rsidRPr="003C4AB6" w:rsidRDefault="00111D0D"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r w:rsidRPr="003C4AB6">
        <w:rPr>
          <w:rFonts w:ascii="Calibri" w:eastAsia="Calibri" w:hAnsi="Calibri" w:cs="Times New Roman"/>
          <w:bCs/>
          <w:sz w:val="24"/>
          <w:szCs w:val="24"/>
        </w:rPr>
        <w:t xml:space="preserve">Максималният размер на помощта по режим </w:t>
      </w:r>
      <w:r w:rsidRPr="003C4AB6">
        <w:rPr>
          <w:rFonts w:ascii="Calibri" w:eastAsia="Calibri" w:hAnsi="Calibri" w:cs="Times New Roman"/>
          <w:bCs/>
          <w:sz w:val="24"/>
          <w:szCs w:val="24"/>
          <w:lang w:val="en-US"/>
        </w:rPr>
        <w:t xml:space="preserve">de </w:t>
      </w:r>
      <w:proofErr w:type="spellStart"/>
      <w:r w:rsidRPr="003C4AB6">
        <w:rPr>
          <w:rFonts w:ascii="Calibri" w:eastAsia="Calibri" w:hAnsi="Calibri" w:cs="Times New Roman"/>
          <w:bCs/>
          <w:sz w:val="24"/>
          <w:szCs w:val="24"/>
          <w:lang w:val="en-US"/>
        </w:rPr>
        <w:t>minimis</w:t>
      </w:r>
      <w:proofErr w:type="spellEnd"/>
      <w:r w:rsidRPr="003C4AB6">
        <w:rPr>
          <w:rFonts w:ascii="Calibri" w:eastAsia="Calibri" w:hAnsi="Calibri" w:cs="Times New Roman"/>
          <w:bCs/>
          <w:sz w:val="24"/>
          <w:szCs w:val="24"/>
        </w:rPr>
        <w:t>,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шосейни товарни превози за чужда сметка за период от три бюджетни години.</w:t>
      </w:r>
    </w:p>
    <w:p w:rsidR="00A52B8A" w:rsidRPr="003C4AB6" w:rsidRDefault="00A52B8A"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10"/>
          <w:szCs w:val="10"/>
        </w:rPr>
      </w:pPr>
    </w:p>
    <w:p w:rsidR="00111D0D" w:rsidRPr="003C4AB6" w:rsidRDefault="00111D0D"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r w:rsidRPr="003C4AB6">
        <w:rPr>
          <w:rFonts w:ascii="Calibri" w:eastAsia="Calibri" w:hAnsi="Calibri" w:cs="Times New Roman"/>
          <w:bCs/>
          <w:sz w:val="24"/>
          <w:szCs w:val="24"/>
        </w:rPr>
        <w:t xml:space="preserve">Размерът на получените минимални помощи се определя като сбор от помощта, за която се кандидатства и получената минимална помощ </w:t>
      </w:r>
      <w:r w:rsidR="005B3770" w:rsidRPr="003C4AB6">
        <w:rPr>
          <w:rFonts w:ascii="Calibri" w:eastAsia="Calibri" w:hAnsi="Calibri" w:cs="Times New Roman"/>
          <w:bCs/>
          <w:sz w:val="24"/>
          <w:szCs w:val="24"/>
        </w:rPr>
        <w:t xml:space="preserve">на територията на Република България </w:t>
      </w:r>
      <w:r w:rsidRPr="003C4AB6">
        <w:rPr>
          <w:rFonts w:ascii="Calibri" w:eastAsia="Calibri" w:hAnsi="Calibri" w:cs="Times New Roman"/>
          <w:bCs/>
          <w:sz w:val="24"/>
          <w:szCs w:val="24"/>
        </w:rPr>
        <w:t>от:</w:t>
      </w:r>
    </w:p>
    <w:p w:rsidR="00A52B8A" w:rsidRPr="003C4AB6" w:rsidRDefault="00A52B8A"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10"/>
          <w:szCs w:val="10"/>
        </w:rPr>
      </w:pPr>
    </w:p>
    <w:p w:rsidR="00111D0D"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r w:rsidRPr="003C4AB6">
        <w:rPr>
          <w:rFonts w:ascii="Calibri" w:eastAsia="Calibri" w:hAnsi="Calibri" w:cs="Times New Roman"/>
          <w:bCs/>
          <w:sz w:val="24"/>
          <w:szCs w:val="24"/>
        </w:rPr>
        <w:t xml:space="preserve">   • </w:t>
      </w:r>
      <w:r w:rsidR="00111D0D" w:rsidRPr="003C4AB6">
        <w:rPr>
          <w:rFonts w:ascii="Calibri" w:eastAsia="Calibri" w:hAnsi="Calibri" w:cs="Times New Roman"/>
          <w:bCs/>
          <w:sz w:val="24"/>
          <w:szCs w:val="24"/>
        </w:rPr>
        <w:t>предприятието кандидат;</w:t>
      </w:r>
    </w:p>
    <w:p w:rsidR="00971EF3"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10"/>
          <w:szCs w:val="10"/>
        </w:rPr>
      </w:pPr>
    </w:p>
    <w:p w:rsidR="00111D0D"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r w:rsidRPr="003C4AB6">
        <w:rPr>
          <w:rFonts w:ascii="Calibri" w:eastAsia="Calibri" w:hAnsi="Calibri" w:cs="Times New Roman"/>
          <w:bCs/>
          <w:sz w:val="24"/>
          <w:szCs w:val="24"/>
        </w:rPr>
        <w:t xml:space="preserve">   • </w:t>
      </w:r>
      <w:r w:rsidR="00111D0D" w:rsidRPr="003C4AB6">
        <w:rPr>
          <w:rFonts w:ascii="Calibri" w:eastAsia="Calibri" w:hAnsi="Calibri" w:cs="Times New Roman"/>
          <w:bCs/>
          <w:sz w:val="24"/>
          <w:szCs w:val="24"/>
        </w:rPr>
        <w:t xml:space="preserve">предприятията, с които предприятието кандидат образува „едно и също предприятие“ по смисъла на чл. 2, </w:t>
      </w:r>
      <w:proofErr w:type="spellStart"/>
      <w:r w:rsidR="00111D0D" w:rsidRPr="003C4AB6">
        <w:rPr>
          <w:rFonts w:ascii="Calibri" w:eastAsia="Calibri" w:hAnsi="Calibri" w:cs="Times New Roman"/>
          <w:bCs/>
          <w:sz w:val="24"/>
          <w:szCs w:val="24"/>
        </w:rPr>
        <w:t>пар</w:t>
      </w:r>
      <w:proofErr w:type="spellEnd"/>
      <w:r w:rsidR="00111D0D" w:rsidRPr="003C4AB6">
        <w:rPr>
          <w:rFonts w:ascii="Calibri" w:eastAsia="Calibri" w:hAnsi="Calibri" w:cs="Times New Roman"/>
          <w:bCs/>
          <w:sz w:val="24"/>
          <w:szCs w:val="24"/>
        </w:rPr>
        <w:t>. 2 на Регламент (ЕС) № 1407/2013</w:t>
      </w:r>
      <w:r w:rsidR="000E0388" w:rsidRPr="003C4AB6">
        <w:rPr>
          <w:rFonts w:ascii="Calibri" w:eastAsia="Calibri" w:hAnsi="Calibri" w:cs="Times New Roman"/>
          <w:bCs/>
          <w:sz w:val="24"/>
          <w:szCs w:val="24"/>
        </w:rPr>
        <w:t xml:space="preserve"> и Приложение </w:t>
      </w:r>
      <w:r w:rsidR="0023176D">
        <w:rPr>
          <w:rFonts w:ascii="Calibri" w:eastAsia="Calibri" w:hAnsi="Calibri" w:cs="Times New Roman"/>
          <w:bCs/>
          <w:sz w:val="24"/>
          <w:szCs w:val="24"/>
        </w:rPr>
        <w:t>Т</w:t>
      </w:r>
      <w:r w:rsidR="00111D0D" w:rsidRPr="003C4AB6">
        <w:rPr>
          <w:rFonts w:ascii="Calibri" w:eastAsia="Calibri" w:hAnsi="Calibri" w:cs="Times New Roman"/>
          <w:bCs/>
          <w:sz w:val="24"/>
          <w:szCs w:val="24"/>
        </w:rPr>
        <w:t xml:space="preserve"> към настоящите </w:t>
      </w:r>
      <w:r w:rsidR="007B1E28">
        <w:rPr>
          <w:rFonts w:ascii="Calibri" w:eastAsia="Calibri" w:hAnsi="Calibri" w:cs="Times New Roman"/>
          <w:bCs/>
          <w:sz w:val="24"/>
          <w:szCs w:val="24"/>
        </w:rPr>
        <w:t>Условия</w:t>
      </w:r>
      <w:r w:rsidR="00111D0D" w:rsidRPr="003C4AB6">
        <w:rPr>
          <w:rFonts w:ascii="Calibri" w:eastAsia="Calibri" w:hAnsi="Calibri" w:cs="Times New Roman"/>
          <w:bCs/>
          <w:sz w:val="24"/>
          <w:szCs w:val="24"/>
        </w:rPr>
        <w:t>;</w:t>
      </w:r>
    </w:p>
    <w:p w:rsidR="00971EF3"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10"/>
          <w:szCs w:val="10"/>
        </w:rPr>
      </w:pPr>
    </w:p>
    <w:p w:rsidR="00111D0D"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rPr>
      </w:pPr>
      <w:r w:rsidRPr="003C4AB6">
        <w:rPr>
          <w:rFonts w:ascii="Calibri" w:eastAsia="Calibri" w:hAnsi="Calibri" w:cs="Times New Roman"/>
          <w:bCs/>
          <w:sz w:val="24"/>
          <w:szCs w:val="24"/>
        </w:rPr>
        <w:t xml:space="preserve">   • </w:t>
      </w:r>
      <w:r w:rsidR="00111D0D" w:rsidRPr="003C4AB6">
        <w:rPr>
          <w:rFonts w:ascii="Calibri" w:eastAsia="Calibri" w:hAnsi="Calibri" w:cs="Times New Roman"/>
          <w:bCs/>
          <w:sz w:val="24"/>
          <w:szCs w:val="24"/>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00111D0D" w:rsidRPr="003C4AB6">
        <w:rPr>
          <w:rFonts w:ascii="Calibri" w:eastAsia="Calibri" w:hAnsi="Calibri" w:cs="Times New Roman"/>
          <w:bCs/>
          <w:sz w:val="24"/>
          <w:szCs w:val="24"/>
        </w:rPr>
        <w:t>пар</w:t>
      </w:r>
      <w:proofErr w:type="spellEnd"/>
      <w:r w:rsidR="00111D0D" w:rsidRPr="003C4AB6">
        <w:rPr>
          <w:rFonts w:ascii="Calibri" w:eastAsia="Calibri" w:hAnsi="Calibri" w:cs="Times New Roman"/>
          <w:bCs/>
          <w:sz w:val="24"/>
          <w:szCs w:val="24"/>
        </w:rPr>
        <w:t>. 8 на Регламент (ЕС) № 1407/2013;</w:t>
      </w:r>
    </w:p>
    <w:p w:rsidR="00971EF3"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10"/>
          <w:szCs w:val="10"/>
        </w:rPr>
      </w:pPr>
    </w:p>
    <w:p w:rsidR="00111D0D" w:rsidRPr="003C4AB6" w:rsidRDefault="00971EF3"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lang w:val="en-US"/>
        </w:rPr>
      </w:pPr>
      <w:r w:rsidRPr="003C4AB6">
        <w:rPr>
          <w:rFonts w:ascii="Calibri" w:eastAsia="Calibri" w:hAnsi="Calibri" w:cs="Times New Roman"/>
          <w:bCs/>
          <w:sz w:val="24"/>
          <w:szCs w:val="24"/>
        </w:rPr>
        <w:t xml:space="preserve">   • </w:t>
      </w:r>
      <w:r w:rsidR="00111D0D" w:rsidRPr="003C4AB6">
        <w:rPr>
          <w:rFonts w:ascii="Calibri" w:eastAsia="Calibri" w:hAnsi="Calibri" w:cs="Times New Roman"/>
          <w:bCs/>
          <w:sz w:val="24"/>
          <w:szCs w:val="24"/>
        </w:rPr>
        <w:t>предприятията, образуващи „едно и също предприятие“ с предприятието кандидат,</w:t>
      </w:r>
      <w:r w:rsidR="009F10B5" w:rsidRPr="003C4AB6">
        <w:rPr>
          <w:rFonts w:ascii="Calibri" w:eastAsia="Calibri" w:hAnsi="Calibri" w:cs="Times New Roman"/>
          <w:bCs/>
          <w:sz w:val="24"/>
          <w:szCs w:val="24"/>
        </w:rPr>
        <w:t xml:space="preserve"> </w:t>
      </w:r>
      <w:r w:rsidR="00111D0D" w:rsidRPr="003C4AB6">
        <w:rPr>
          <w:rFonts w:ascii="Calibri" w:eastAsia="Calibri" w:hAnsi="Calibri" w:cs="Times New Roman"/>
          <w:bCs/>
          <w:sz w:val="24"/>
          <w:szCs w:val="24"/>
        </w:rPr>
        <w:t>които са се</w:t>
      </w:r>
      <w:r w:rsidR="00111D0D" w:rsidRPr="003C4AB6">
        <w:t xml:space="preserve"> </w:t>
      </w:r>
      <w:r w:rsidR="00111D0D" w:rsidRPr="003C4AB6">
        <w:rPr>
          <w:rFonts w:ascii="Calibri" w:eastAsia="Calibri" w:hAnsi="Calibri" w:cs="Times New Roman"/>
          <w:bCs/>
          <w:sz w:val="24"/>
          <w:szCs w:val="24"/>
        </w:rPr>
        <w:t xml:space="preserve">възползвали от помощ </w:t>
      </w:r>
      <w:proofErr w:type="spellStart"/>
      <w:r w:rsidR="00111D0D" w:rsidRPr="003C4AB6">
        <w:rPr>
          <w:rFonts w:ascii="Calibri" w:eastAsia="Calibri" w:hAnsi="Calibri" w:cs="Times New Roman"/>
          <w:bCs/>
          <w:sz w:val="24"/>
          <w:szCs w:val="24"/>
        </w:rPr>
        <w:t>de</w:t>
      </w:r>
      <w:proofErr w:type="spellEnd"/>
      <w:r w:rsidR="00111D0D" w:rsidRPr="003C4AB6">
        <w:rPr>
          <w:rFonts w:ascii="Calibri" w:eastAsia="Calibri" w:hAnsi="Calibri" w:cs="Times New Roman"/>
          <w:bCs/>
          <w:sz w:val="24"/>
          <w:szCs w:val="24"/>
        </w:rPr>
        <w:t xml:space="preserve"> </w:t>
      </w:r>
      <w:proofErr w:type="spellStart"/>
      <w:r w:rsidR="00111D0D" w:rsidRPr="003C4AB6">
        <w:rPr>
          <w:rFonts w:ascii="Calibri" w:eastAsia="Calibri" w:hAnsi="Calibri" w:cs="Times New Roman"/>
          <w:bCs/>
          <w:sz w:val="24"/>
          <w:szCs w:val="24"/>
        </w:rPr>
        <w:t>minimis</w:t>
      </w:r>
      <w:proofErr w:type="spellEnd"/>
      <w:r w:rsidR="00111D0D" w:rsidRPr="003C4AB6">
        <w:rPr>
          <w:rFonts w:ascii="Calibri" w:eastAsia="Calibri" w:hAnsi="Calibri" w:cs="Times New Roman"/>
          <w:bCs/>
          <w:sz w:val="24"/>
          <w:szCs w:val="24"/>
        </w:rPr>
        <w:t xml:space="preserve">, получена преди разделяне или отделяне, съгласно чл. 3, </w:t>
      </w:r>
      <w:proofErr w:type="spellStart"/>
      <w:r w:rsidR="00111D0D" w:rsidRPr="003C4AB6">
        <w:rPr>
          <w:rFonts w:ascii="Calibri" w:eastAsia="Calibri" w:hAnsi="Calibri" w:cs="Times New Roman"/>
          <w:bCs/>
          <w:sz w:val="24"/>
          <w:szCs w:val="24"/>
        </w:rPr>
        <w:t>пар</w:t>
      </w:r>
      <w:proofErr w:type="spellEnd"/>
      <w:r w:rsidR="00111D0D" w:rsidRPr="003C4AB6">
        <w:rPr>
          <w:rFonts w:ascii="Calibri" w:eastAsia="Calibri" w:hAnsi="Calibri" w:cs="Times New Roman"/>
          <w:bCs/>
          <w:sz w:val="24"/>
          <w:szCs w:val="24"/>
        </w:rPr>
        <w:t>. 9 от Регламент (ЕС) № 1407/2013.</w:t>
      </w:r>
    </w:p>
    <w:p w:rsidR="00050D29" w:rsidRPr="003C4AB6" w:rsidRDefault="00050D29"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lang w:val="en-US"/>
        </w:rPr>
      </w:pPr>
    </w:p>
    <w:p w:rsidR="00F73A11" w:rsidRPr="003C4AB6" w:rsidRDefault="00050D29" w:rsidP="00111D0D">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Cs/>
          <w:sz w:val="24"/>
          <w:szCs w:val="24"/>
          <w:lang w:val="en-US"/>
        </w:rPr>
      </w:pPr>
      <w:r w:rsidRPr="003C4AB6">
        <w:rPr>
          <w:rFonts w:ascii="Calibri" w:eastAsia="Calibri" w:hAnsi="Calibri" w:cs="Times New Roman"/>
          <w:bCs/>
          <w:sz w:val="24"/>
          <w:szCs w:val="24"/>
        </w:rPr>
        <w:t xml:space="preserve">Спазването на посочените прагове освен чрез Декларацията </w:t>
      </w:r>
      <w:r w:rsidRPr="003C4AB6">
        <w:rPr>
          <w:rFonts w:ascii="Calibri" w:eastAsia="Calibri" w:hAnsi="Calibri" w:cs="Times New Roman"/>
          <w:sz w:val="24"/>
          <w:szCs w:val="24"/>
        </w:rPr>
        <w:t xml:space="preserve">за минимални помощи </w:t>
      </w:r>
      <w:r w:rsidR="00E4444F" w:rsidRPr="003C4AB6">
        <w:rPr>
          <w:rFonts w:ascii="Calibri" w:eastAsia="Calibri" w:hAnsi="Calibri" w:cs="Times New Roman"/>
          <w:sz w:val="24"/>
          <w:szCs w:val="24"/>
        </w:rPr>
        <w:t>(Приложение</w:t>
      </w:r>
      <w:r w:rsidR="004444B8" w:rsidRPr="003C4AB6">
        <w:rPr>
          <w:rFonts w:ascii="Calibri" w:eastAsia="Calibri" w:hAnsi="Calibri" w:cs="Times New Roman"/>
          <w:sz w:val="24"/>
          <w:szCs w:val="24"/>
        </w:rPr>
        <w:t xml:space="preserve"> Г</w:t>
      </w:r>
      <w:r w:rsidR="00E4444F" w:rsidRPr="003C4AB6">
        <w:rPr>
          <w:rFonts w:ascii="Calibri" w:eastAsia="Calibri" w:hAnsi="Calibri" w:cs="Times New Roman"/>
          <w:sz w:val="24"/>
          <w:szCs w:val="24"/>
        </w:rPr>
        <w:t>)</w:t>
      </w:r>
      <w:r w:rsidRPr="003C4AB6">
        <w:rPr>
          <w:rFonts w:ascii="Calibri" w:eastAsia="Calibri" w:hAnsi="Calibri" w:cs="Times New Roman"/>
          <w:sz w:val="24"/>
          <w:szCs w:val="24"/>
        </w:rPr>
        <w:t xml:space="preserve"> ще бъде проверявано и чрез проверка в</w:t>
      </w:r>
      <w:r w:rsidRPr="003C4AB6">
        <w:rPr>
          <w:rFonts w:ascii="Calibri" w:eastAsia="Calibri" w:hAnsi="Calibri" w:cs="Times New Roman"/>
        </w:rPr>
        <w:t xml:space="preserve"> </w:t>
      </w:r>
      <w:r w:rsidRPr="003C4AB6">
        <w:rPr>
          <w:rFonts w:ascii="Calibri" w:eastAsia="Calibri" w:hAnsi="Calibri" w:cs="Times New Roman"/>
          <w:sz w:val="24"/>
          <w:szCs w:val="24"/>
        </w:rPr>
        <w:t>Информационна система "Регистър на минималните помощи", в Публичния регистър на Европейската комисия, в</w:t>
      </w:r>
      <w:r w:rsidRPr="003C4AB6">
        <w:rPr>
          <w:rFonts w:ascii="Calibri" w:eastAsia="Calibri" w:hAnsi="Calibri" w:cs="Times New Roman"/>
          <w:bCs/>
          <w:sz w:val="24"/>
          <w:szCs w:val="24"/>
        </w:rPr>
        <w:t xml:space="preserve"> Информационната система за управление и наблюдение на Структурните инструменти на ЕС в България </w:t>
      </w:r>
      <w:r w:rsidR="00807081">
        <w:rPr>
          <w:rFonts w:ascii="Calibri" w:eastAsia="Calibri" w:hAnsi="Calibri" w:cs="Times New Roman"/>
          <w:bCs/>
          <w:sz w:val="24"/>
          <w:szCs w:val="24"/>
          <w:lang w:val="en-US"/>
        </w:rPr>
        <w:t xml:space="preserve">2007-2013 </w:t>
      </w:r>
      <w:r w:rsidRPr="003C4AB6">
        <w:rPr>
          <w:rFonts w:ascii="Calibri" w:eastAsia="Calibri" w:hAnsi="Calibri" w:cs="Times New Roman"/>
          <w:bCs/>
          <w:sz w:val="24"/>
          <w:szCs w:val="24"/>
        </w:rPr>
        <w:t>(ИСУН) и в Информационната система за управление и наблюдение на Структурните инструменти на ЕС в България (ИСУН 2020)</w:t>
      </w:r>
      <w:r w:rsidRPr="003C4AB6">
        <w:rPr>
          <w:rFonts w:ascii="Calibri" w:eastAsia="Calibri" w:hAnsi="Calibri" w:cs="Times New Roman"/>
          <w:sz w:val="24"/>
          <w:szCs w:val="24"/>
        </w:rPr>
        <w:t>.</w:t>
      </w:r>
    </w:p>
    <w:p w:rsidR="002325A3" w:rsidRPr="003C4AB6" w:rsidRDefault="00CB14EE" w:rsidP="005C1072">
      <w:pPr>
        <w:pStyle w:val="Heading2"/>
        <w:spacing w:before="120" w:after="120"/>
      </w:pPr>
      <w:r w:rsidRPr="003C4AB6">
        <w:rPr>
          <w:sz w:val="24"/>
          <w:szCs w:val="24"/>
        </w:rPr>
        <w:t xml:space="preserve">  </w:t>
      </w:r>
      <w:bookmarkStart w:id="9" w:name="_Toc442298713"/>
      <w:r w:rsidRPr="003C4AB6">
        <w:t>1</w:t>
      </w:r>
      <w:r w:rsidR="004A58E5" w:rsidRPr="003C4AB6">
        <w:t>0</w:t>
      </w:r>
      <w:r w:rsidRPr="003C4AB6">
        <w:t>.</w:t>
      </w:r>
      <w:r w:rsidR="004A58E5" w:rsidRPr="003C4AB6">
        <w:t xml:space="preserve"> </w:t>
      </w:r>
      <w:r w:rsidR="002325A3" w:rsidRPr="003C4AB6">
        <w:t xml:space="preserve">Процент на </w:t>
      </w:r>
      <w:proofErr w:type="spellStart"/>
      <w:r w:rsidR="002325A3" w:rsidRPr="003C4AB6">
        <w:t>съфинансиране</w:t>
      </w:r>
      <w:bookmarkEnd w:id="9"/>
      <w:proofErr w:type="spellEnd"/>
    </w:p>
    <w:p w:rsidR="00100582" w:rsidRPr="003C4AB6" w:rsidRDefault="00100582" w:rsidP="00B331F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C4AB6">
        <w:rPr>
          <w:sz w:val="24"/>
          <w:szCs w:val="24"/>
        </w:rPr>
        <w:t>Максималният</w:t>
      </w:r>
      <w:r w:rsidR="00944888" w:rsidRPr="003C4AB6">
        <w:rPr>
          <w:sz w:val="24"/>
          <w:szCs w:val="24"/>
        </w:rPr>
        <w:t xml:space="preserve"> интензитет на безвъзмездната финансова помощ </w:t>
      </w:r>
      <w:r w:rsidRPr="003C4AB6">
        <w:rPr>
          <w:sz w:val="24"/>
          <w:szCs w:val="24"/>
        </w:rPr>
        <w:t xml:space="preserve">по процедура за подбор на проекти </w:t>
      </w:r>
      <w:r w:rsidR="00D67C57">
        <w:rPr>
          <w:sz w:val="24"/>
          <w:szCs w:val="24"/>
        </w:rPr>
        <w:t>BG16RFOP002-1.002</w:t>
      </w:r>
      <w:r w:rsidR="00D87CE5" w:rsidRPr="00D87CE5">
        <w:rPr>
          <w:sz w:val="24"/>
          <w:szCs w:val="24"/>
        </w:rPr>
        <w:t xml:space="preserve"> </w:t>
      </w:r>
      <w:r w:rsidRPr="003C4AB6">
        <w:rPr>
          <w:sz w:val="24"/>
          <w:szCs w:val="24"/>
        </w:rPr>
        <w:t>„Подкрепа за разработване на иновации от стартиращи предприятия” е както следва:</w:t>
      </w:r>
    </w:p>
    <w:p w:rsidR="00386989" w:rsidRPr="003C4AB6" w:rsidRDefault="00386989" w:rsidP="00A7384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tbl>
      <w:tblPr>
        <w:tblStyle w:val="TableGrid"/>
        <w:tblW w:w="9606" w:type="dxa"/>
        <w:tblLook w:val="04A0" w:firstRow="1" w:lastRow="0" w:firstColumn="1" w:lastColumn="0" w:noHBand="0" w:noVBand="1"/>
      </w:tblPr>
      <w:tblGrid>
        <w:gridCol w:w="9606"/>
      </w:tblGrid>
      <w:tr w:rsidR="00B331F1" w:rsidRPr="003C4AB6" w:rsidTr="00A836C5">
        <w:tc>
          <w:tcPr>
            <w:tcW w:w="9606" w:type="dxa"/>
            <w:shd w:val="clear" w:color="auto" w:fill="BFBFBF" w:themeFill="background1" w:themeFillShade="BF"/>
            <w:vAlign w:val="center"/>
          </w:tcPr>
          <w:p w:rsidR="00B331F1" w:rsidRPr="003C4AB6" w:rsidRDefault="00B331F1" w:rsidP="00386989">
            <w:pPr>
              <w:spacing w:before="360" w:after="360"/>
              <w:contextualSpacing/>
              <w:jc w:val="center"/>
              <w:rPr>
                <w:rFonts w:asciiTheme="minorHAnsi" w:hAnsiTheme="minorHAnsi" w:cstheme="minorHAnsi"/>
                <w:b/>
                <w:sz w:val="24"/>
                <w:szCs w:val="24"/>
              </w:rPr>
            </w:pPr>
          </w:p>
          <w:p w:rsidR="00B331F1" w:rsidRPr="003C4AB6" w:rsidRDefault="00B331F1" w:rsidP="00386989">
            <w:pPr>
              <w:spacing w:before="360" w:after="360"/>
              <w:contextualSpacing/>
              <w:jc w:val="center"/>
              <w:rPr>
                <w:rFonts w:asciiTheme="minorHAnsi" w:hAnsiTheme="minorHAnsi" w:cstheme="minorHAnsi"/>
                <w:b/>
                <w:sz w:val="24"/>
                <w:szCs w:val="24"/>
              </w:rPr>
            </w:pPr>
            <w:r w:rsidRPr="003C4AB6">
              <w:rPr>
                <w:rFonts w:asciiTheme="minorHAnsi" w:hAnsiTheme="minorHAnsi" w:cstheme="minorHAnsi"/>
                <w:b/>
                <w:sz w:val="24"/>
                <w:szCs w:val="24"/>
              </w:rPr>
              <w:t>Максимален интензитет на помощта</w:t>
            </w:r>
          </w:p>
          <w:p w:rsidR="00B331F1" w:rsidRPr="003C4AB6" w:rsidRDefault="00B331F1" w:rsidP="00386989">
            <w:pPr>
              <w:spacing w:before="360" w:after="360"/>
              <w:contextualSpacing/>
              <w:jc w:val="center"/>
              <w:rPr>
                <w:rFonts w:asciiTheme="minorHAnsi" w:eastAsia="Calibri" w:hAnsiTheme="minorHAnsi" w:cstheme="minorHAnsi"/>
                <w:b/>
                <w:sz w:val="24"/>
                <w:szCs w:val="24"/>
              </w:rPr>
            </w:pPr>
          </w:p>
        </w:tc>
      </w:tr>
      <w:tr w:rsidR="00B331F1" w:rsidRPr="003C4AB6" w:rsidTr="00A836C5">
        <w:tc>
          <w:tcPr>
            <w:tcW w:w="9606" w:type="dxa"/>
          </w:tcPr>
          <w:p w:rsidR="00B331F1" w:rsidRPr="003C4AB6" w:rsidRDefault="00B331F1" w:rsidP="00044D20">
            <w:pPr>
              <w:contextualSpacing/>
              <w:jc w:val="both"/>
              <w:rPr>
                <w:rFonts w:asciiTheme="minorHAnsi" w:eastAsiaTheme="minorHAnsi" w:hAnsiTheme="minorHAnsi" w:cstheme="minorBidi"/>
                <w:sz w:val="24"/>
                <w:szCs w:val="24"/>
                <w:lang w:eastAsia="en-US"/>
              </w:rPr>
            </w:pPr>
          </w:p>
          <w:p w:rsidR="00B331F1" w:rsidRPr="003C4AB6" w:rsidRDefault="00B331F1" w:rsidP="008A03D5">
            <w:pPr>
              <w:pStyle w:val="ListParagraph"/>
              <w:ind w:left="0"/>
              <w:jc w:val="center"/>
              <w:rPr>
                <w:rFonts w:asciiTheme="minorHAnsi" w:eastAsiaTheme="minorHAnsi" w:hAnsiTheme="minorHAnsi" w:cstheme="minorBidi"/>
                <w:sz w:val="24"/>
                <w:szCs w:val="24"/>
                <w:lang w:eastAsia="en-US"/>
              </w:rPr>
            </w:pPr>
            <w:r w:rsidRPr="003C4AB6">
              <w:rPr>
                <w:rFonts w:asciiTheme="minorHAnsi" w:eastAsiaTheme="minorHAnsi" w:hAnsiTheme="minorHAnsi" w:cstheme="minorBidi"/>
                <w:sz w:val="24"/>
                <w:szCs w:val="24"/>
                <w:lang w:eastAsia="en-US"/>
              </w:rPr>
              <w:t>90 %</w:t>
            </w:r>
            <w:r w:rsidR="006E1046" w:rsidRPr="003C4AB6">
              <w:rPr>
                <w:rFonts w:asciiTheme="minorHAnsi" w:eastAsiaTheme="minorHAnsi" w:hAnsiTheme="minorHAnsi" w:cstheme="minorBidi"/>
                <w:sz w:val="24"/>
                <w:szCs w:val="24"/>
                <w:lang w:eastAsia="en-US"/>
              </w:rPr>
              <w:t xml:space="preserve"> </w:t>
            </w:r>
          </w:p>
          <w:p w:rsidR="008A03D5" w:rsidRPr="003C4AB6" w:rsidRDefault="008A03D5" w:rsidP="008A03D5">
            <w:pPr>
              <w:pStyle w:val="ListParagraph"/>
              <w:ind w:left="0"/>
              <w:jc w:val="center"/>
              <w:rPr>
                <w:rFonts w:ascii="Calibri" w:eastAsia="Calibri" w:hAnsi="Calibri"/>
                <w:b/>
                <w:sz w:val="24"/>
                <w:szCs w:val="24"/>
              </w:rPr>
            </w:pPr>
          </w:p>
        </w:tc>
      </w:tr>
    </w:tbl>
    <w:p w:rsidR="007C202C" w:rsidRPr="003C4AB6" w:rsidRDefault="007C202C" w:rsidP="00A7384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rsidR="00673679" w:rsidRPr="003C4AB6" w:rsidRDefault="00A73844" w:rsidP="006E1046">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3C4AB6">
        <w:rPr>
          <w:rFonts w:ascii="Calibri" w:eastAsia="Calibri" w:hAnsi="Calibri" w:cs="Times New Roman"/>
          <w:sz w:val="24"/>
          <w:szCs w:val="24"/>
        </w:rPr>
        <w:t>Общият размер на помощта „</w:t>
      </w:r>
      <w:proofErr w:type="spellStart"/>
      <w:r w:rsidRPr="003C4AB6">
        <w:rPr>
          <w:rFonts w:ascii="Calibri" w:eastAsia="Calibri" w:hAnsi="Calibri" w:cs="Times New Roman"/>
          <w:sz w:val="24"/>
          <w:szCs w:val="24"/>
        </w:rPr>
        <w:t>de</w:t>
      </w:r>
      <w:proofErr w:type="spellEnd"/>
      <w:r w:rsidRPr="003C4AB6">
        <w:rPr>
          <w:rFonts w:ascii="Calibri" w:eastAsia="Calibri" w:hAnsi="Calibri" w:cs="Times New Roman"/>
          <w:sz w:val="24"/>
          <w:szCs w:val="24"/>
        </w:rPr>
        <w:t xml:space="preserve"> </w:t>
      </w:r>
      <w:proofErr w:type="spellStart"/>
      <w:r w:rsidRPr="003C4AB6">
        <w:rPr>
          <w:rFonts w:ascii="Calibri" w:eastAsia="Calibri" w:hAnsi="Calibri" w:cs="Times New Roman"/>
          <w:sz w:val="24"/>
          <w:szCs w:val="24"/>
        </w:rPr>
        <w:t>minimis</w:t>
      </w:r>
      <w:proofErr w:type="spellEnd"/>
      <w:r w:rsidRPr="003C4AB6">
        <w:rPr>
          <w:rFonts w:ascii="Calibri" w:eastAsia="Calibri" w:hAnsi="Calibri" w:cs="Times New Roman"/>
          <w:sz w:val="24"/>
          <w:szCs w:val="24"/>
        </w:rPr>
        <w:t>”</w:t>
      </w:r>
      <w:r w:rsidR="00AB3724" w:rsidRPr="003C4AB6">
        <w:rPr>
          <w:rFonts w:ascii="Calibri" w:eastAsia="Calibri" w:hAnsi="Calibri" w:cs="Times New Roman"/>
          <w:sz w:val="24"/>
          <w:szCs w:val="24"/>
        </w:rPr>
        <w:t xml:space="preserve"> не може да надхвърля праговете, посочени в т. 9 от </w:t>
      </w:r>
      <w:r w:rsidR="007B1E28">
        <w:rPr>
          <w:rFonts w:ascii="Calibri" w:eastAsia="Calibri" w:hAnsi="Calibri" w:cs="Times New Roman"/>
          <w:sz w:val="24"/>
          <w:szCs w:val="24"/>
        </w:rPr>
        <w:t>Условия</w:t>
      </w:r>
      <w:r w:rsidR="006B1C7B" w:rsidRPr="003C4AB6">
        <w:rPr>
          <w:rFonts w:ascii="Calibri" w:eastAsia="Calibri" w:hAnsi="Calibri" w:cs="Times New Roman"/>
          <w:sz w:val="24"/>
          <w:szCs w:val="24"/>
        </w:rPr>
        <w:t>т</w:t>
      </w:r>
      <w:r w:rsidR="00F53AB3">
        <w:rPr>
          <w:rFonts w:ascii="Calibri" w:eastAsia="Calibri" w:hAnsi="Calibri" w:cs="Times New Roman"/>
          <w:sz w:val="24"/>
          <w:szCs w:val="24"/>
        </w:rPr>
        <w:t>а</w:t>
      </w:r>
      <w:r w:rsidR="006B1C7B" w:rsidRPr="003C4AB6">
        <w:rPr>
          <w:rFonts w:ascii="Calibri" w:eastAsia="Calibri" w:hAnsi="Calibri" w:cs="Times New Roman"/>
          <w:sz w:val="24"/>
          <w:szCs w:val="24"/>
        </w:rPr>
        <w:t xml:space="preserve"> за кандидатстване.</w:t>
      </w:r>
    </w:p>
    <w:p w:rsidR="00944888" w:rsidRPr="003C4AB6" w:rsidRDefault="00756197" w:rsidP="00157B99">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sidRPr="003C4AB6">
        <w:rPr>
          <w:sz w:val="24"/>
          <w:szCs w:val="24"/>
        </w:rPr>
        <w:lastRenderedPageBreak/>
        <w:t>Остатъкът от общите допустими разходи по проекта</w:t>
      </w:r>
      <w:r w:rsidR="008A03D5" w:rsidRPr="003C4AB6">
        <w:rPr>
          <w:sz w:val="24"/>
          <w:szCs w:val="24"/>
        </w:rPr>
        <w:t xml:space="preserve"> </w:t>
      </w:r>
      <w:r w:rsidRPr="003C4AB6">
        <w:rPr>
          <w:sz w:val="24"/>
          <w:szCs w:val="24"/>
        </w:rPr>
        <w:t xml:space="preserve">трябва да бъде </w:t>
      </w:r>
      <w:proofErr w:type="spellStart"/>
      <w:r w:rsidRPr="003C4AB6">
        <w:rPr>
          <w:sz w:val="24"/>
          <w:szCs w:val="24"/>
        </w:rPr>
        <w:t>съфинансиран</w:t>
      </w:r>
      <w:proofErr w:type="spellEnd"/>
      <w:r w:rsidRPr="003C4AB6">
        <w:rPr>
          <w:sz w:val="24"/>
          <w:szCs w:val="24"/>
        </w:rPr>
        <w:t xml:space="preserve"> чрез собствени средства на кандидата или </w:t>
      </w:r>
      <w:r w:rsidR="00F709F2" w:rsidRPr="003C4AB6">
        <w:rPr>
          <w:sz w:val="24"/>
          <w:szCs w:val="24"/>
        </w:rPr>
        <w:t xml:space="preserve">със средства </w:t>
      </w:r>
      <w:r w:rsidRPr="003C4AB6">
        <w:rPr>
          <w:sz w:val="24"/>
          <w:szCs w:val="24"/>
        </w:rPr>
        <w:t xml:space="preserve">от </w:t>
      </w:r>
      <w:r w:rsidR="00F709F2" w:rsidRPr="003C4AB6">
        <w:rPr>
          <w:sz w:val="24"/>
          <w:szCs w:val="24"/>
        </w:rPr>
        <w:t xml:space="preserve">външни </w:t>
      </w:r>
      <w:r w:rsidRPr="003C4AB6">
        <w:rPr>
          <w:sz w:val="24"/>
          <w:szCs w:val="24"/>
        </w:rPr>
        <w:t xml:space="preserve">източници, които </w:t>
      </w:r>
      <w:r w:rsidR="00F709F2" w:rsidRPr="003C4AB6">
        <w:rPr>
          <w:sz w:val="24"/>
          <w:szCs w:val="24"/>
        </w:rPr>
        <w:t xml:space="preserve">средства </w:t>
      </w:r>
      <w:r w:rsidRPr="003C4AB6">
        <w:rPr>
          <w:sz w:val="24"/>
          <w:szCs w:val="24"/>
        </w:rPr>
        <w:t>изключват всякаква публична подкрепа.</w:t>
      </w:r>
      <w:r w:rsidR="00A661C8" w:rsidRPr="003C4AB6">
        <w:rPr>
          <w:sz w:val="24"/>
          <w:szCs w:val="24"/>
        </w:rPr>
        <w:t xml:space="preserve"> Посоченото ще бъде проверявано въз основа на представената Декларация за </w:t>
      </w:r>
      <w:r w:rsidR="00243784" w:rsidRPr="003C4AB6">
        <w:rPr>
          <w:sz w:val="24"/>
          <w:szCs w:val="24"/>
        </w:rPr>
        <w:t>минимални</w:t>
      </w:r>
      <w:r w:rsidR="00A661C8" w:rsidRPr="003C4AB6">
        <w:rPr>
          <w:sz w:val="24"/>
          <w:szCs w:val="24"/>
        </w:rPr>
        <w:t xml:space="preserve"> помощи по Приложение</w:t>
      </w:r>
      <w:r w:rsidR="008D547A" w:rsidRPr="003C4AB6">
        <w:rPr>
          <w:sz w:val="24"/>
          <w:szCs w:val="24"/>
        </w:rPr>
        <w:t xml:space="preserve"> Г.</w:t>
      </w:r>
    </w:p>
    <w:p w:rsidR="00ED4BBB" w:rsidRPr="003C4AB6" w:rsidRDefault="00ED4BB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10018A" w:rsidRPr="003C4AB6" w:rsidRDefault="00124516"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3C4AB6">
        <w:rPr>
          <w:sz w:val="24"/>
          <w:szCs w:val="24"/>
        </w:rPr>
        <w:t xml:space="preserve">За </w:t>
      </w:r>
      <w:r w:rsidR="00A554B2" w:rsidRPr="003C4AB6">
        <w:rPr>
          <w:sz w:val="24"/>
          <w:szCs w:val="24"/>
        </w:rPr>
        <w:t>да се изчисли интензитетът</w:t>
      </w:r>
      <w:r w:rsidRPr="003C4AB6">
        <w:rPr>
          <w:sz w:val="24"/>
          <w:szCs w:val="24"/>
        </w:rPr>
        <w:t xml:space="preserve"> на помощта</w:t>
      </w:r>
      <w:r w:rsidR="00E02F01" w:rsidRPr="003C4AB6">
        <w:rPr>
          <w:sz w:val="24"/>
          <w:szCs w:val="24"/>
        </w:rPr>
        <w:t>,</w:t>
      </w:r>
      <w:r w:rsidRPr="003C4AB6">
        <w:rPr>
          <w:sz w:val="24"/>
          <w:szCs w:val="24"/>
        </w:rPr>
        <w:t xml:space="preserve"> всички данни </w:t>
      </w:r>
      <w:r w:rsidR="003F3B1C" w:rsidRPr="003C4AB6">
        <w:rPr>
          <w:sz w:val="24"/>
          <w:szCs w:val="24"/>
        </w:rPr>
        <w:t xml:space="preserve">се </w:t>
      </w:r>
      <w:r w:rsidR="004D68FB" w:rsidRPr="003C4AB6">
        <w:rPr>
          <w:sz w:val="24"/>
          <w:szCs w:val="24"/>
        </w:rPr>
        <w:t>представят в брутно изражение -</w:t>
      </w:r>
      <w:r w:rsidRPr="003C4AB6">
        <w:rPr>
          <w:sz w:val="24"/>
          <w:szCs w:val="24"/>
        </w:rPr>
        <w:t xml:space="preserve"> </w:t>
      </w:r>
      <w:r w:rsidR="00A554B2" w:rsidRPr="003C4AB6">
        <w:rPr>
          <w:sz w:val="24"/>
          <w:szCs w:val="24"/>
        </w:rPr>
        <w:t>преди приспадането на данъци и</w:t>
      </w:r>
      <w:r w:rsidRPr="003C4AB6">
        <w:rPr>
          <w:sz w:val="24"/>
          <w:szCs w:val="24"/>
        </w:rPr>
        <w:t xml:space="preserve"> други такси. </w:t>
      </w:r>
      <w:r w:rsidR="003F3B1C" w:rsidRPr="003C4AB6">
        <w:rPr>
          <w:sz w:val="24"/>
          <w:szCs w:val="24"/>
        </w:rPr>
        <w:t>Помощите, които се предоставят на няколко части</w:t>
      </w:r>
      <w:r w:rsidR="00CB78E3" w:rsidRPr="003C4AB6">
        <w:rPr>
          <w:sz w:val="24"/>
          <w:szCs w:val="24"/>
        </w:rPr>
        <w:t xml:space="preserve"> (</w:t>
      </w:r>
      <w:r w:rsidR="00CB78E3" w:rsidRPr="003C4AB6">
        <w:rPr>
          <w:bCs/>
          <w:sz w:val="24"/>
          <w:szCs w:val="24"/>
        </w:rPr>
        <w:t>т.е. когато кандидатът предвижда да ползва авансово и/или междинно/и плащане/</w:t>
      </w:r>
      <w:proofErr w:type="spellStart"/>
      <w:r w:rsidR="00CB78E3" w:rsidRPr="003C4AB6">
        <w:rPr>
          <w:bCs/>
          <w:sz w:val="24"/>
          <w:szCs w:val="24"/>
        </w:rPr>
        <w:t>ия</w:t>
      </w:r>
      <w:proofErr w:type="spellEnd"/>
      <w:r w:rsidR="00CB78E3" w:rsidRPr="003C4AB6">
        <w:rPr>
          <w:bCs/>
          <w:sz w:val="24"/>
          <w:szCs w:val="24"/>
        </w:rPr>
        <w:t>)</w:t>
      </w:r>
      <w:r w:rsidR="003F3B1C" w:rsidRPr="003C4AB6">
        <w:rPr>
          <w:sz w:val="24"/>
          <w:szCs w:val="24"/>
        </w:rPr>
        <w:t>, се сконтират към техния разм</w:t>
      </w:r>
      <w:r w:rsidR="00626ABC" w:rsidRPr="003C4AB6">
        <w:rPr>
          <w:sz w:val="24"/>
          <w:szCs w:val="24"/>
        </w:rPr>
        <w:t>ер към момента на предоставяне</w:t>
      </w:r>
      <w:r w:rsidR="003A48F8" w:rsidRPr="003C4AB6">
        <w:rPr>
          <w:sz w:val="24"/>
          <w:szCs w:val="24"/>
        </w:rPr>
        <w:t>. Допустимите разходи се сконтират до тяхната стойност към момента на предоставяне на помощта</w:t>
      </w:r>
      <w:r w:rsidR="004B48C5" w:rsidRPr="003C4AB6">
        <w:rPr>
          <w:rStyle w:val="FootnoteReference"/>
          <w:sz w:val="24"/>
          <w:szCs w:val="24"/>
        </w:rPr>
        <w:footnoteReference w:id="3"/>
      </w:r>
      <w:r w:rsidR="003A48F8" w:rsidRPr="003C4AB6">
        <w:rPr>
          <w:sz w:val="24"/>
          <w:szCs w:val="24"/>
        </w:rPr>
        <w:t>. Л</w:t>
      </w:r>
      <w:r w:rsidR="00626ABC" w:rsidRPr="003C4AB6">
        <w:rPr>
          <w:sz w:val="24"/>
          <w:szCs w:val="24"/>
        </w:rPr>
        <w:t>ихвеният процент</w:t>
      </w:r>
      <w:r w:rsidR="003A48F8" w:rsidRPr="003C4AB6">
        <w:rPr>
          <w:sz w:val="24"/>
          <w:szCs w:val="24"/>
        </w:rPr>
        <w:t xml:space="preserve"> който се използва за сконтиране, е сконтовият процент</w:t>
      </w:r>
      <w:r w:rsidR="003F3B1C" w:rsidRPr="003C4AB6">
        <w:rPr>
          <w:sz w:val="24"/>
          <w:szCs w:val="24"/>
        </w:rPr>
        <w:t>, приложим към мом</w:t>
      </w:r>
      <w:r w:rsidR="00626ABC" w:rsidRPr="003C4AB6">
        <w:rPr>
          <w:sz w:val="24"/>
          <w:szCs w:val="24"/>
        </w:rPr>
        <w:t xml:space="preserve">ента на предоставяне на помощта в съответствие с </w:t>
      </w:r>
      <w:r w:rsidR="00D63CD4" w:rsidRPr="003C4AB6">
        <w:rPr>
          <w:sz w:val="24"/>
          <w:szCs w:val="24"/>
        </w:rPr>
        <w:t>чл. 3, ал</w:t>
      </w:r>
      <w:r w:rsidR="00662676" w:rsidRPr="003C4AB6">
        <w:rPr>
          <w:sz w:val="24"/>
          <w:szCs w:val="24"/>
        </w:rPr>
        <w:t>.</w:t>
      </w:r>
      <w:r w:rsidR="00D63CD4" w:rsidRPr="003C4AB6">
        <w:rPr>
          <w:sz w:val="24"/>
          <w:szCs w:val="24"/>
        </w:rPr>
        <w:t xml:space="preserve"> 6</w:t>
      </w:r>
      <w:r w:rsidR="008A03D5" w:rsidRPr="003C4AB6">
        <w:rPr>
          <w:sz w:val="24"/>
          <w:szCs w:val="24"/>
        </w:rPr>
        <w:t xml:space="preserve"> </w:t>
      </w:r>
      <w:r w:rsidR="00F25118" w:rsidRPr="003C4AB6">
        <w:rPr>
          <w:sz w:val="24"/>
          <w:szCs w:val="24"/>
        </w:rPr>
        <w:t>от</w:t>
      </w:r>
      <w:r w:rsidR="00367B31" w:rsidRPr="003C4AB6">
        <w:rPr>
          <w:sz w:val="24"/>
          <w:szCs w:val="24"/>
        </w:rPr>
        <w:t xml:space="preserve"> Регламент (ЕС) № 1407/2013</w:t>
      </w:r>
      <w:r w:rsidR="00ED4BBB" w:rsidRPr="003C4AB6">
        <w:rPr>
          <w:sz w:val="24"/>
          <w:szCs w:val="24"/>
        </w:rPr>
        <w:t>.</w:t>
      </w:r>
      <w:r w:rsidR="00ED4BBB" w:rsidRPr="003C4AB6">
        <w:rPr>
          <w:rFonts w:ascii="Times New Roman" w:eastAsia="Times New Roman" w:hAnsi="Times New Roman" w:cs="Times New Roman"/>
          <w:bCs/>
          <w:snapToGrid w:val="0"/>
          <w:sz w:val="24"/>
          <w:szCs w:val="24"/>
        </w:rPr>
        <w:t xml:space="preserve"> </w:t>
      </w:r>
      <w:r w:rsidR="00ED4BBB" w:rsidRPr="003C4AB6">
        <w:rPr>
          <w:bCs/>
          <w:sz w:val="24"/>
          <w:szCs w:val="24"/>
        </w:rPr>
        <w:t>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rsidR="002325A3" w:rsidRPr="003C4AB6" w:rsidRDefault="00CB14EE" w:rsidP="00707733">
      <w:pPr>
        <w:pStyle w:val="Heading2"/>
      </w:pPr>
      <w:bookmarkStart w:id="10" w:name="_Toc442298714"/>
      <w:r w:rsidRPr="003C4AB6">
        <w:t>1</w:t>
      </w:r>
      <w:r w:rsidR="004A58E5" w:rsidRPr="003C4AB6">
        <w:t>1</w:t>
      </w:r>
      <w:r w:rsidR="002325A3" w:rsidRPr="003C4AB6">
        <w:t>. Допустими кандидати:</w:t>
      </w:r>
      <w:bookmarkEnd w:id="10"/>
      <w:r w:rsidR="002325A3" w:rsidRPr="003C4AB6">
        <w:t xml:space="preserve"> </w:t>
      </w:r>
    </w:p>
    <w:p w:rsidR="001B6D92" w:rsidRPr="003C4AB6" w:rsidRDefault="00D84021" w:rsidP="005C1072">
      <w:pPr>
        <w:pStyle w:val="Heading3"/>
        <w:spacing w:before="120" w:after="120"/>
        <w:rPr>
          <w:sz w:val="24"/>
          <w:szCs w:val="24"/>
        </w:rPr>
      </w:pPr>
      <w:bookmarkStart w:id="11" w:name="_Toc442298715"/>
      <w:r w:rsidRPr="003C4AB6">
        <w:rPr>
          <w:sz w:val="24"/>
          <w:szCs w:val="24"/>
        </w:rPr>
        <w:t>11.1</w:t>
      </w:r>
      <w:r w:rsidR="001B6D92" w:rsidRPr="003C4AB6">
        <w:rPr>
          <w:sz w:val="24"/>
          <w:szCs w:val="24"/>
        </w:rPr>
        <w:t xml:space="preserve"> Критерии за допустимост на кандидатите</w:t>
      </w:r>
      <w:bookmarkEnd w:id="11"/>
    </w:p>
    <w:p w:rsidR="00377A51" w:rsidRPr="003C4AB6" w:rsidRDefault="0047081D" w:rsidP="005676FF">
      <w:pPr>
        <w:pStyle w:val="ListParagraph"/>
        <w:pBdr>
          <w:top w:val="single" w:sz="4" w:space="1" w:color="auto"/>
          <w:left w:val="single" w:sz="4" w:space="4" w:color="auto"/>
          <w:bottom w:val="single" w:sz="4" w:space="1" w:color="auto"/>
          <w:right w:val="single" w:sz="4" w:space="3" w:color="auto"/>
        </w:pBdr>
        <w:spacing w:after="240" w:line="240" w:lineRule="auto"/>
        <w:ind w:left="0"/>
        <w:jc w:val="both"/>
        <w:rPr>
          <w:sz w:val="24"/>
          <w:szCs w:val="24"/>
          <w:lang w:val="en-US"/>
        </w:rPr>
      </w:pPr>
      <w:r w:rsidRPr="003C4AB6">
        <w:rPr>
          <w:b/>
          <w:sz w:val="24"/>
          <w:szCs w:val="24"/>
        </w:rPr>
        <w:t>1)</w:t>
      </w:r>
      <w:r w:rsidRPr="003C4AB6">
        <w:rPr>
          <w:sz w:val="24"/>
          <w:szCs w:val="24"/>
        </w:rPr>
        <w:t xml:space="preserve"> </w:t>
      </w:r>
      <w:r w:rsidR="00CE0C05" w:rsidRPr="003C4AB6">
        <w:rPr>
          <w:sz w:val="24"/>
          <w:szCs w:val="24"/>
        </w:rPr>
        <w:t xml:space="preserve">Допустими по настоящата процедура за подбор на проекти са само кандидати, които </w:t>
      </w:r>
      <w:r w:rsidR="00377A51" w:rsidRPr="003C4AB6">
        <w:rPr>
          <w:sz w:val="24"/>
          <w:szCs w:val="24"/>
        </w:rPr>
        <w:t xml:space="preserve">са </w:t>
      </w:r>
      <w:r w:rsidR="0057294A" w:rsidRPr="003C4AB6">
        <w:rPr>
          <w:b/>
          <w:sz w:val="24"/>
          <w:szCs w:val="24"/>
        </w:rPr>
        <w:t xml:space="preserve">юридически лица или еднолични търговци, </w:t>
      </w:r>
      <w:r w:rsidR="0057294A" w:rsidRPr="003C4AB6">
        <w:rPr>
          <w:sz w:val="24"/>
          <w:szCs w:val="24"/>
        </w:rPr>
        <w:t>регистрирани съгласно Търговския закон или Закона за кооперациите</w:t>
      </w:r>
      <w:r w:rsidR="00C30934" w:rsidRPr="003C4AB6">
        <w:rPr>
          <w:sz w:val="24"/>
          <w:szCs w:val="24"/>
        </w:rPr>
        <w:t>.</w:t>
      </w:r>
    </w:p>
    <w:p w:rsidR="005468D9" w:rsidRPr="003C4AB6" w:rsidRDefault="00AD32F4" w:rsidP="004C21BA">
      <w:pPr>
        <w:pBdr>
          <w:top w:val="single" w:sz="4" w:space="1" w:color="auto"/>
          <w:left w:val="single" w:sz="4" w:space="4" w:color="auto"/>
          <w:bottom w:val="single" w:sz="4" w:space="1" w:color="auto"/>
          <w:right w:val="single" w:sz="4" w:space="3" w:color="auto"/>
        </w:pBdr>
        <w:shd w:val="clear" w:color="auto" w:fill="FFFFFF" w:themeFill="background1"/>
        <w:spacing w:before="100" w:beforeAutospacing="1" w:after="100" w:afterAutospacing="1" w:line="320" w:lineRule="atLeast"/>
        <w:jc w:val="both"/>
        <w:rPr>
          <w:sz w:val="24"/>
          <w:szCs w:val="24"/>
          <w:lang w:val="en-US"/>
        </w:rPr>
      </w:pPr>
      <w:r w:rsidRPr="003C4AB6">
        <w:rPr>
          <w:b/>
          <w:sz w:val="24"/>
          <w:szCs w:val="24"/>
          <w:lang w:val="en-US"/>
        </w:rPr>
        <w:t>2</w:t>
      </w:r>
      <w:r w:rsidRPr="003C4AB6">
        <w:rPr>
          <w:b/>
          <w:sz w:val="24"/>
          <w:szCs w:val="24"/>
        </w:rPr>
        <w:t>)</w:t>
      </w:r>
      <w:r w:rsidRPr="003C4AB6">
        <w:rPr>
          <w:sz w:val="24"/>
          <w:szCs w:val="24"/>
        </w:rPr>
        <w:t xml:space="preserve"> Допустими по настоящата процедура за подбор на проекти са само кандидати, </w:t>
      </w:r>
      <w:r w:rsidR="0057294A" w:rsidRPr="003C4AB6">
        <w:rPr>
          <w:sz w:val="24"/>
          <w:szCs w:val="24"/>
        </w:rPr>
        <w:t xml:space="preserve">които имат </w:t>
      </w:r>
      <w:r w:rsidR="0057294A" w:rsidRPr="003C4AB6">
        <w:rPr>
          <w:b/>
          <w:sz w:val="24"/>
          <w:szCs w:val="24"/>
        </w:rPr>
        <w:t>по-малко от три</w:t>
      </w:r>
      <w:r w:rsidR="0057294A" w:rsidRPr="003C4AB6">
        <w:rPr>
          <w:sz w:val="24"/>
          <w:szCs w:val="24"/>
        </w:rPr>
        <w:t xml:space="preserve"> </w:t>
      </w:r>
      <w:r w:rsidR="0057294A" w:rsidRPr="003C4AB6">
        <w:rPr>
          <w:b/>
          <w:sz w:val="24"/>
          <w:szCs w:val="24"/>
        </w:rPr>
        <w:t>приключени финансови години</w:t>
      </w:r>
      <w:r w:rsidR="00B22EA9">
        <w:rPr>
          <w:rStyle w:val="FootnoteReference"/>
          <w:b/>
          <w:sz w:val="24"/>
          <w:szCs w:val="24"/>
        </w:rPr>
        <w:footnoteReference w:id="4"/>
      </w:r>
      <w:r w:rsidR="0057294A" w:rsidRPr="003C4AB6">
        <w:rPr>
          <w:sz w:val="24"/>
          <w:szCs w:val="24"/>
        </w:rPr>
        <w:t xml:space="preserve"> към крайната дата за подаване на проектни предложения</w:t>
      </w:r>
      <w:r w:rsidR="004C21BA" w:rsidRPr="003C4AB6">
        <w:rPr>
          <w:sz w:val="24"/>
          <w:szCs w:val="24"/>
        </w:rPr>
        <w:t>.</w:t>
      </w:r>
    </w:p>
    <w:p w:rsidR="00043532" w:rsidRPr="003C4AB6" w:rsidRDefault="00AD32F4" w:rsidP="005676FF">
      <w:pPr>
        <w:pStyle w:val="ListParagraph"/>
        <w:pBdr>
          <w:top w:val="single" w:sz="4" w:space="1" w:color="auto"/>
          <w:left w:val="single" w:sz="4" w:space="4" w:color="auto"/>
          <w:bottom w:val="single" w:sz="4" w:space="1" w:color="auto"/>
          <w:right w:val="single" w:sz="4" w:space="3" w:color="auto"/>
        </w:pBdr>
        <w:spacing w:after="240" w:line="240" w:lineRule="auto"/>
        <w:ind w:left="0"/>
        <w:jc w:val="both"/>
        <w:rPr>
          <w:sz w:val="24"/>
          <w:szCs w:val="24"/>
        </w:rPr>
      </w:pPr>
      <w:r w:rsidRPr="003C4AB6">
        <w:rPr>
          <w:b/>
          <w:sz w:val="24"/>
          <w:szCs w:val="24"/>
          <w:lang w:val="en-US"/>
        </w:rPr>
        <w:t>3</w:t>
      </w:r>
      <w:r w:rsidR="0091055D" w:rsidRPr="003C4AB6">
        <w:rPr>
          <w:b/>
          <w:sz w:val="24"/>
          <w:szCs w:val="24"/>
          <w:lang w:val="en-US"/>
        </w:rPr>
        <w:t>)</w:t>
      </w:r>
      <w:r w:rsidR="0091055D" w:rsidRPr="003C4AB6">
        <w:rPr>
          <w:sz w:val="24"/>
          <w:szCs w:val="24"/>
          <w:lang w:val="en-US"/>
        </w:rPr>
        <w:t xml:space="preserve"> </w:t>
      </w:r>
      <w:r w:rsidR="00794014" w:rsidRPr="003C4AB6">
        <w:rPr>
          <w:sz w:val="24"/>
          <w:szCs w:val="24"/>
        </w:rPr>
        <w:t>Кандидати могат да участват в процедурата за подбор на проекти и да получат безвъзмездна финансова помощ</w:t>
      </w:r>
      <w:r w:rsidR="009078A3">
        <w:rPr>
          <w:sz w:val="24"/>
          <w:szCs w:val="24"/>
        </w:rPr>
        <w:t>,</w:t>
      </w:r>
      <w:r w:rsidR="00794014" w:rsidRPr="003C4AB6">
        <w:rPr>
          <w:sz w:val="24"/>
          <w:szCs w:val="24"/>
        </w:rPr>
        <w:t xml:space="preserve"> в случай че </w:t>
      </w:r>
      <w:r w:rsidR="00794014" w:rsidRPr="003C4AB6">
        <w:rPr>
          <w:b/>
          <w:sz w:val="24"/>
          <w:szCs w:val="24"/>
          <w:u w:val="single"/>
        </w:rPr>
        <w:t>не</w:t>
      </w:r>
      <w:r w:rsidR="00794014" w:rsidRPr="003C4AB6">
        <w:rPr>
          <w:sz w:val="24"/>
          <w:szCs w:val="24"/>
        </w:rPr>
        <w:t xml:space="preserve"> попадат в забранителните режими на Регламент (ЕС) № 1407/2013 на Комисията о</w:t>
      </w:r>
      <w:r w:rsidR="009D3AEA" w:rsidRPr="003C4AB6">
        <w:rPr>
          <w:sz w:val="24"/>
          <w:szCs w:val="24"/>
        </w:rPr>
        <w:t>т 18 декември 2013 г.</w:t>
      </w:r>
    </w:p>
    <w:p w:rsidR="00CE0C05" w:rsidRPr="003C4AB6" w:rsidRDefault="00043532" w:rsidP="004C21BA">
      <w:pPr>
        <w:pBdr>
          <w:top w:val="single" w:sz="4" w:space="1" w:color="auto"/>
          <w:left w:val="single" w:sz="4" w:space="4" w:color="auto"/>
          <w:bottom w:val="single" w:sz="4" w:space="1" w:color="auto"/>
          <w:right w:val="single" w:sz="4" w:space="3" w:color="auto"/>
        </w:pBdr>
        <w:shd w:val="clear" w:color="auto" w:fill="FFFFFF" w:themeFill="background1"/>
        <w:spacing w:before="100" w:beforeAutospacing="1" w:after="100" w:afterAutospacing="1" w:line="320" w:lineRule="atLeast"/>
        <w:jc w:val="both"/>
        <w:rPr>
          <w:sz w:val="24"/>
          <w:szCs w:val="24"/>
        </w:rPr>
      </w:pPr>
      <w:r w:rsidRPr="003C4AB6">
        <w:rPr>
          <w:b/>
          <w:sz w:val="24"/>
          <w:szCs w:val="24"/>
          <w:lang w:val="en-US"/>
        </w:rPr>
        <w:t xml:space="preserve">4) </w:t>
      </w:r>
      <w:r w:rsidRPr="003C4AB6">
        <w:rPr>
          <w:sz w:val="24"/>
          <w:szCs w:val="24"/>
        </w:rPr>
        <w:t>Кандидати могат да участват в процедурата за подбор на проекти и да получат безвъзмездна финансова помощ</w:t>
      </w:r>
      <w:r w:rsidR="004C21BA" w:rsidRPr="003C4AB6">
        <w:rPr>
          <w:sz w:val="24"/>
          <w:szCs w:val="24"/>
        </w:rPr>
        <w:t>,</w:t>
      </w:r>
      <w:r w:rsidRPr="003C4AB6">
        <w:rPr>
          <w:sz w:val="24"/>
          <w:szCs w:val="24"/>
        </w:rPr>
        <w:t xml:space="preserve"> в случай че </w:t>
      </w:r>
      <w:r w:rsidRPr="003C4AB6">
        <w:rPr>
          <w:b/>
          <w:sz w:val="24"/>
          <w:szCs w:val="24"/>
          <w:u w:val="single"/>
        </w:rPr>
        <w:t>не</w:t>
      </w:r>
      <w:r w:rsidRPr="003C4AB6">
        <w:rPr>
          <w:sz w:val="24"/>
          <w:szCs w:val="24"/>
        </w:rPr>
        <w:t xml:space="preserve"> са недопустими кандидати съобразно демаркационната линия с други планове и програми, финансирани със средства на ЕС.</w:t>
      </w:r>
    </w:p>
    <w:p w:rsidR="0044063E" w:rsidRPr="003C4AB6" w:rsidRDefault="0044063E" w:rsidP="004C21BA">
      <w:pPr>
        <w:pStyle w:val="ListParagraph"/>
        <w:pBdr>
          <w:top w:val="single" w:sz="4" w:space="1" w:color="auto"/>
          <w:left w:val="single" w:sz="4" w:space="4" w:color="auto"/>
          <w:bottom w:val="single" w:sz="4" w:space="1" w:color="auto"/>
          <w:right w:val="single" w:sz="4" w:space="3" w:color="auto"/>
        </w:pBdr>
        <w:spacing w:after="360" w:line="240" w:lineRule="auto"/>
        <w:ind w:left="0"/>
        <w:jc w:val="both"/>
        <w:rPr>
          <w:sz w:val="24"/>
          <w:szCs w:val="24"/>
        </w:rPr>
      </w:pPr>
      <w:r w:rsidRPr="003C4AB6">
        <w:rPr>
          <w:sz w:val="24"/>
          <w:szCs w:val="24"/>
        </w:rPr>
        <w:t>Клонове на юридически лица</w:t>
      </w:r>
      <w:r w:rsidR="00F079F4" w:rsidRPr="003C4AB6">
        <w:rPr>
          <w:sz w:val="24"/>
          <w:szCs w:val="24"/>
        </w:rPr>
        <w:t>, регистрирани в България</w:t>
      </w:r>
      <w:r w:rsidR="00F733FA" w:rsidRPr="003C4AB6">
        <w:rPr>
          <w:sz w:val="24"/>
          <w:szCs w:val="24"/>
        </w:rPr>
        <w:t>,</w:t>
      </w:r>
      <w:r w:rsidRPr="003C4AB6">
        <w:rPr>
          <w:sz w:val="24"/>
          <w:szCs w:val="24"/>
        </w:rPr>
        <w:t xml:space="preserve"> </w:t>
      </w:r>
      <w:r w:rsidRPr="003C4AB6">
        <w:rPr>
          <w:b/>
          <w:sz w:val="24"/>
          <w:szCs w:val="24"/>
        </w:rPr>
        <w:t>не могат</w:t>
      </w:r>
      <w:r w:rsidRPr="003C4AB6">
        <w:rPr>
          <w:sz w:val="24"/>
          <w:szCs w:val="24"/>
        </w:rPr>
        <w:t xml:space="preserve"> да участват в процедурата за подбор на проекти поради липсата на самостоятелна </w:t>
      </w:r>
      <w:proofErr w:type="spellStart"/>
      <w:r w:rsidRPr="003C4AB6">
        <w:rPr>
          <w:sz w:val="24"/>
          <w:szCs w:val="24"/>
        </w:rPr>
        <w:t>правосубектност</w:t>
      </w:r>
      <w:proofErr w:type="spellEnd"/>
      <w:r w:rsidRPr="003C4AB6">
        <w:rPr>
          <w:sz w:val="24"/>
          <w:szCs w:val="24"/>
        </w:rPr>
        <w:t>.</w:t>
      </w:r>
      <w:r w:rsidR="0079396C" w:rsidRPr="003C4AB6">
        <w:rPr>
          <w:sz w:val="24"/>
          <w:szCs w:val="24"/>
        </w:rPr>
        <w:t xml:space="preserve"> </w:t>
      </w:r>
    </w:p>
    <w:p w:rsidR="006039BA" w:rsidRPr="003C4AB6" w:rsidRDefault="00E453A5" w:rsidP="00494E1B">
      <w:pPr>
        <w:pBdr>
          <w:top w:val="single" w:sz="4" w:space="1" w:color="auto"/>
          <w:left w:val="single" w:sz="4" w:space="4" w:color="auto"/>
          <w:bottom w:val="single" w:sz="4" w:space="1" w:color="auto"/>
          <w:right w:val="single" w:sz="4" w:space="3" w:color="auto"/>
        </w:pBdr>
        <w:spacing w:after="360" w:line="240" w:lineRule="auto"/>
        <w:contextualSpacing/>
        <w:jc w:val="both"/>
        <w:rPr>
          <w:rFonts w:ascii="Calibri" w:eastAsia="Calibri" w:hAnsi="Calibri" w:cs="Times New Roman"/>
          <w:sz w:val="24"/>
          <w:szCs w:val="24"/>
        </w:rPr>
      </w:pPr>
      <w:r w:rsidRPr="003C4AB6">
        <w:rPr>
          <w:rFonts w:ascii="Calibri" w:eastAsia="Calibri" w:hAnsi="Calibri" w:cs="Times New Roman"/>
          <w:b/>
          <w:sz w:val="24"/>
          <w:szCs w:val="24"/>
        </w:rPr>
        <w:lastRenderedPageBreak/>
        <w:t>ВАЖНО:</w:t>
      </w:r>
      <w:r w:rsidRPr="003C4AB6">
        <w:rPr>
          <w:rFonts w:ascii="Calibri" w:eastAsia="Calibri" w:hAnsi="Calibri" w:cs="Times New Roman"/>
          <w:sz w:val="24"/>
          <w:szCs w:val="24"/>
        </w:rPr>
        <w:t xml:space="preserve"> Кандидатите </w:t>
      </w:r>
      <w:r w:rsidR="00E66D2E" w:rsidRPr="003C4AB6">
        <w:rPr>
          <w:rFonts w:ascii="Calibri" w:eastAsia="Calibri" w:hAnsi="Calibri" w:cs="Times New Roman"/>
          <w:sz w:val="24"/>
          <w:szCs w:val="24"/>
        </w:rPr>
        <w:t>са длъжни да удостоверят</w:t>
      </w:r>
      <w:r w:rsidR="00B32299" w:rsidRPr="003C4AB6">
        <w:rPr>
          <w:rFonts w:ascii="Calibri" w:eastAsia="Calibri" w:hAnsi="Calibri" w:cs="Times New Roman"/>
          <w:sz w:val="24"/>
          <w:szCs w:val="24"/>
          <w:lang w:val="en-US"/>
        </w:rPr>
        <w:t xml:space="preserve"> </w:t>
      </w:r>
      <w:r w:rsidR="00B32299" w:rsidRPr="003C4AB6">
        <w:rPr>
          <w:rFonts w:ascii="Calibri" w:eastAsia="Calibri" w:hAnsi="Calibri" w:cs="Times New Roman"/>
          <w:sz w:val="24"/>
          <w:szCs w:val="24"/>
        </w:rPr>
        <w:t>на етап кандидатстване</w:t>
      </w:r>
      <w:r w:rsidR="00E66D2E" w:rsidRPr="003C4AB6">
        <w:rPr>
          <w:rFonts w:ascii="Calibri" w:eastAsia="Calibri" w:hAnsi="Calibri" w:cs="Times New Roman"/>
          <w:sz w:val="24"/>
          <w:szCs w:val="24"/>
        </w:rPr>
        <w:t xml:space="preserve">, че са </w:t>
      </w:r>
      <w:proofErr w:type="spellStart"/>
      <w:r w:rsidR="00E66D2E" w:rsidRPr="003C4AB6">
        <w:rPr>
          <w:rFonts w:ascii="Calibri" w:eastAsia="Calibri" w:hAnsi="Calibri" w:cs="Times New Roman"/>
          <w:sz w:val="24"/>
          <w:szCs w:val="24"/>
        </w:rPr>
        <w:t>микро</w:t>
      </w:r>
      <w:proofErr w:type="spellEnd"/>
      <w:r w:rsidR="00E66D2E" w:rsidRPr="003C4AB6">
        <w:rPr>
          <w:rFonts w:ascii="Calibri" w:eastAsia="Calibri" w:hAnsi="Calibri" w:cs="Times New Roman"/>
          <w:sz w:val="24"/>
          <w:szCs w:val="24"/>
        </w:rPr>
        <w:t xml:space="preserve">, малко или средно предприятие 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(Приложение </w:t>
      </w:r>
      <w:r w:rsidR="008D547A" w:rsidRPr="003C4AB6">
        <w:rPr>
          <w:rFonts w:ascii="Calibri" w:eastAsia="Calibri" w:hAnsi="Calibri" w:cs="Times New Roman"/>
          <w:sz w:val="24"/>
          <w:szCs w:val="24"/>
        </w:rPr>
        <w:t>Д</w:t>
      </w:r>
      <w:r w:rsidR="00E66D2E" w:rsidRPr="003C4AB6">
        <w:rPr>
          <w:rFonts w:ascii="Calibri" w:eastAsia="Calibri" w:hAnsi="Calibri" w:cs="Times New Roman"/>
          <w:sz w:val="24"/>
          <w:szCs w:val="24"/>
        </w:rPr>
        <w:t xml:space="preserve"> към </w:t>
      </w:r>
      <w:r w:rsidR="007B1E28">
        <w:rPr>
          <w:rFonts w:ascii="Calibri" w:eastAsia="Calibri" w:hAnsi="Calibri" w:cs="Times New Roman"/>
          <w:sz w:val="24"/>
          <w:szCs w:val="24"/>
        </w:rPr>
        <w:t>Условия</w:t>
      </w:r>
      <w:r w:rsidR="00E66D2E" w:rsidRPr="003C4AB6">
        <w:rPr>
          <w:rFonts w:ascii="Calibri" w:eastAsia="Calibri" w:hAnsi="Calibri" w:cs="Times New Roman"/>
          <w:sz w:val="24"/>
          <w:szCs w:val="24"/>
        </w:rPr>
        <w:t>т</w:t>
      </w:r>
      <w:r w:rsidR="00F53AB3">
        <w:rPr>
          <w:rFonts w:ascii="Calibri" w:eastAsia="Calibri" w:hAnsi="Calibri" w:cs="Times New Roman"/>
          <w:sz w:val="24"/>
          <w:szCs w:val="24"/>
        </w:rPr>
        <w:t>а</w:t>
      </w:r>
      <w:r w:rsidR="00E66D2E" w:rsidRPr="003C4AB6">
        <w:rPr>
          <w:rFonts w:ascii="Calibri" w:eastAsia="Calibri" w:hAnsi="Calibri" w:cs="Times New Roman"/>
          <w:sz w:val="24"/>
          <w:szCs w:val="24"/>
        </w:rPr>
        <w:t xml:space="preserve"> за кандидатстване).</w:t>
      </w:r>
      <w:r w:rsidR="00BE59B9" w:rsidRPr="003C4AB6">
        <w:rPr>
          <w:rFonts w:ascii="Calibri" w:eastAsia="Calibri" w:hAnsi="Calibri" w:cs="Times New Roman"/>
          <w:sz w:val="24"/>
          <w:szCs w:val="24"/>
        </w:rPr>
        <w:t xml:space="preserve"> </w:t>
      </w:r>
      <w:r w:rsidR="00B873D0" w:rsidRPr="003C4AB6">
        <w:rPr>
          <w:rFonts w:ascii="Calibri" w:eastAsia="Calibri" w:hAnsi="Calibri" w:cs="Times New Roman"/>
          <w:sz w:val="24"/>
          <w:szCs w:val="24"/>
        </w:rPr>
        <w:t>Предприятия</w:t>
      </w:r>
      <w:r w:rsidR="00E66D2E" w:rsidRPr="003C4AB6">
        <w:rPr>
          <w:rFonts w:ascii="Calibri" w:eastAsia="Calibri" w:hAnsi="Calibri" w:cs="Times New Roman"/>
          <w:sz w:val="24"/>
          <w:szCs w:val="24"/>
        </w:rPr>
        <w:t xml:space="preserve">, които не </w:t>
      </w:r>
      <w:r w:rsidR="00B873D0" w:rsidRPr="003C4AB6">
        <w:rPr>
          <w:rFonts w:ascii="Calibri" w:eastAsia="Calibri" w:hAnsi="Calibri" w:cs="Times New Roman"/>
          <w:sz w:val="24"/>
          <w:szCs w:val="24"/>
        </w:rPr>
        <w:t>отговарят</w:t>
      </w:r>
      <w:r w:rsidR="00E66D2E" w:rsidRPr="003C4AB6">
        <w:rPr>
          <w:rFonts w:ascii="Calibri" w:eastAsia="Calibri" w:hAnsi="Calibri" w:cs="Times New Roman"/>
          <w:sz w:val="24"/>
          <w:szCs w:val="24"/>
        </w:rPr>
        <w:t xml:space="preserve"> на дефиниции</w:t>
      </w:r>
      <w:r w:rsidR="00DC6FAD" w:rsidRPr="003C4AB6">
        <w:rPr>
          <w:rFonts w:ascii="Calibri" w:eastAsia="Calibri" w:hAnsi="Calibri" w:cs="Times New Roman"/>
          <w:sz w:val="24"/>
          <w:szCs w:val="24"/>
        </w:rPr>
        <w:t>те</w:t>
      </w:r>
      <w:r w:rsidR="00E66D2E" w:rsidRPr="003C4AB6">
        <w:rPr>
          <w:rFonts w:ascii="Calibri" w:eastAsia="Calibri" w:hAnsi="Calibri" w:cs="Times New Roman"/>
          <w:sz w:val="24"/>
          <w:szCs w:val="24"/>
        </w:rPr>
        <w:t xml:space="preserve"> за </w:t>
      </w:r>
      <w:proofErr w:type="spellStart"/>
      <w:r w:rsidR="00E66D2E" w:rsidRPr="003C4AB6">
        <w:rPr>
          <w:rFonts w:ascii="Calibri" w:eastAsia="Calibri" w:hAnsi="Calibri" w:cs="Times New Roman"/>
          <w:sz w:val="24"/>
          <w:szCs w:val="24"/>
        </w:rPr>
        <w:t>микро</w:t>
      </w:r>
      <w:proofErr w:type="spellEnd"/>
      <w:r w:rsidR="00E66D2E" w:rsidRPr="003C4AB6">
        <w:rPr>
          <w:rFonts w:ascii="Calibri" w:eastAsia="Calibri" w:hAnsi="Calibri" w:cs="Times New Roman"/>
          <w:sz w:val="24"/>
          <w:szCs w:val="24"/>
        </w:rPr>
        <w:t>, малко или средно предприятие, представляват големи предприятия</w:t>
      </w:r>
      <w:r w:rsidR="00DC6FAD" w:rsidRPr="003C4AB6">
        <w:rPr>
          <w:rFonts w:ascii="Calibri" w:eastAsia="Calibri" w:hAnsi="Calibri" w:cs="Times New Roman"/>
          <w:sz w:val="24"/>
          <w:szCs w:val="24"/>
        </w:rPr>
        <w:t xml:space="preserve"> и не попълват декларация</w:t>
      </w:r>
      <w:r w:rsidR="0085115C" w:rsidRPr="003C4AB6">
        <w:rPr>
          <w:rFonts w:ascii="Calibri" w:eastAsia="Calibri" w:hAnsi="Calibri" w:cs="Times New Roman"/>
          <w:sz w:val="24"/>
          <w:szCs w:val="24"/>
        </w:rPr>
        <w:t xml:space="preserve">, а посочват това обстоятелство в т. 2 „Данни за кандидата“ от Формуляра за кандидатстване. </w:t>
      </w:r>
      <w:r w:rsidR="00276153" w:rsidRPr="003C4AB6">
        <w:rPr>
          <w:rFonts w:ascii="Calibri" w:eastAsia="Calibri" w:hAnsi="Calibri" w:cs="Times New Roman"/>
          <w:sz w:val="24"/>
          <w:szCs w:val="24"/>
        </w:rPr>
        <w:t xml:space="preserve">Преди сключване на </w:t>
      </w:r>
      <w:r w:rsidR="005D54FF">
        <w:rPr>
          <w:rFonts w:ascii="Calibri" w:eastAsia="Calibri" w:hAnsi="Calibri" w:cs="Times New Roman"/>
          <w:sz w:val="24"/>
          <w:szCs w:val="24"/>
        </w:rPr>
        <w:t xml:space="preserve">административен </w:t>
      </w:r>
      <w:r w:rsidR="00276153" w:rsidRPr="003C4AB6">
        <w:rPr>
          <w:rFonts w:ascii="Calibri" w:eastAsia="Calibri" w:hAnsi="Calibri" w:cs="Times New Roman"/>
          <w:sz w:val="24"/>
          <w:szCs w:val="24"/>
        </w:rPr>
        <w:t xml:space="preserve">договор за предоставяне на безвъзмездна финансова помощ, Управляващият орган ще извършва документална проверка на декларираната от одобрените кандидати </w:t>
      </w:r>
      <w:r w:rsidR="006E2B44" w:rsidRPr="003C4AB6">
        <w:rPr>
          <w:rFonts w:ascii="Calibri" w:eastAsia="Calibri" w:hAnsi="Calibri" w:cs="Times New Roman"/>
          <w:sz w:val="24"/>
          <w:szCs w:val="24"/>
        </w:rPr>
        <w:t xml:space="preserve">на етап кандидатстване </w:t>
      </w:r>
      <w:r w:rsidR="00276153" w:rsidRPr="003C4AB6">
        <w:rPr>
          <w:rFonts w:ascii="Calibri" w:eastAsia="Calibri" w:hAnsi="Calibri" w:cs="Times New Roman"/>
          <w:sz w:val="24"/>
          <w:szCs w:val="24"/>
        </w:rPr>
        <w:t xml:space="preserve">категория на </w:t>
      </w:r>
      <w:proofErr w:type="spellStart"/>
      <w:r w:rsidR="00276153" w:rsidRPr="003C4AB6">
        <w:rPr>
          <w:rFonts w:ascii="Calibri" w:eastAsia="Calibri" w:hAnsi="Calibri" w:cs="Times New Roman"/>
          <w:sz w:val="24"/>
          <w:szCs w:val="24"/>
        </w:rPr>
        <w:t>микро</w:t>
      </w:r>
      <w:proofErr w:type="spellEnd"/>
      <w:r w:rsidR="00276153" w:rsidRPr="003C4AB6">
        <w:rPr>
          <w:rFonts w:ascii="Calibri" w:eastAsia="Calibri" w:hAnsi="Calibri" w:cs="Times New Roman"/>
          <w:sz w:val="24"/>
          <w:szCs w:val="24"/>
        </w:rPr>
        <w:t>, малко, средно или голямо предприятие</w:t>
      </w:r>
      <w:r w:rsidR="00FF2970" w:rsidRPr="003C4AB6">
        <w:rPr>
          <w:sz w:val="24"/>
          <w:szCs w:val="24"/>
        </w:rPr>
        <w:t>.</w:t>
      </w:r>
    </w:p>
    <w:p w:rsidR="00315DC8" w:rsidRPr="003C4AB6" w:rsidRDefault="00315DC8" w:rsidP="00DC14A3">
      <w:pPr>
        <w:pStyle w:val="Heading3"/>
        <w:spacing w:before="0" w:after="120"/>
        <w:rPr>
          <w:sz w:val="24"/>
          <w:szCs w:val="24"/>
        </w:rPr>
      </w:pPr>
      <w:bookmarkStart w:id="12" w:name="_Toc442298716"/>
      <w:r w:rsidRPr="003C4AB6">
        <w:rPr>
          <w:sz w:val="24"/>
          <w:szCs w:val="24"/>
        </w:rPr>
        <w:t>11.2 Критерии за недопустимост на кандидатите</w:t>
      </w:r>
      <w:bookmarkEnd w:id="12"/>
    </w:p>
    <w:p w:rsidR="008C6F82" w:rsidRPr="003C4AB6" w:rsidRDefault="004A0C6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1/</w:t>
      </w:r>
      <w:r w:rsidR="006072DE" w:rsidRPr="003C4AB6">
        <w:rPr>
          <w:sz w:val="24"/>
          <w:szCs w:val="24"/>
        </w:rPr>
        <w:t xml:space="preserve"> </w:t>
      </w:r>
      <w:r w:rsidR="008C6F82" w:rsidRPr="003C4AB6">
        <w:rPr>
          <w:sz w:val="24"/>
          <w:szCs w:val="24"/>
        </w:rPr>
        <w:t xml:space="preserve">Потенциалните кандидати </w:t>
      </w:r>
      <w:r w:rsidR="008C6F82" w:rsidRPr="003C4AB6">
        <w:rPr>
          <w:b/>
          <w:sz w:val="24"/>
          <w:szCs w:val="24"/>
        </w:rPr>
        <w:t>не могат</w:t>
      </w:r>
      <w:r w:rsidR="008C6F82" w:rsidRPr="003C4AB6">
        <w:rPr>
          <w:sz w:val="24"/>
          <w:szCs w:val="24"/>
        </w:rPr>
        <w:t xml:space="preserve"> да участват в процедурата за подбор на проекти и да получат безвъзмездна финансова помощ</w:t>
      </w:r>
      <w:r w:rsidR="003E23BD" w:rsidRPr="003C4AB6">
        <w:rPr>
          <w:sz w:val="24"/>
          <w:szCs w:val="24"/>
        </w:rPr>
        <w:t>,</w:t>
      </w:r>
      <w:r w:rsidR="008C6F82" w:rsidRPr="003C4AB6">
        <w:rPr>
          <w:sz w:val="24"/>
          <w:szCs w:val="24"/>
        </w:rPr>
        <w:t xml:space="preserve"> в случай че:</w:t>
      </w:r>
    </w:p>
    <w:p w:rsidR="00EE61A1" w:rsidRPr="003C4AB6" w:rsidRDefault="00EE61A1"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C6F82" w:rsidRPr="003C4AB6" w:rsidRDefault="008967E8"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a)</w:t>
      </w:r>
      <w:r w:rsidR="00A1673C" w:rsidRPr="003C4AB6">
        <w:rPr>
          <w:sz w:val="24"/>
          <w:szCs w:val="24"/>
        </w:rPr>
        <w:t xml:space="preserve"> </w:t>
      </w:r>
      <w:r w:rsidR="008C6F82" w:rsidRPr="003C4AB6">
        <w:rPr>
          <w:sz w:val="24"/>
          <w:szCs w:val="24"/>
        </w:rPr>
        <w:t>са обявени в несъстоятелност или са</w:t>
      </w:r>
      <w:r w:rsidR="00DB6BE4" w:rsidRPr="003C4AB6">
        <w:rPr>
          <w:sz w:val="24"/>
          <w:szCs w:val="24"/>
        </w:rPr>
        <w:t xml:space="preserve"> в ликвидация</w:t>
      </w:r>
      <w:r w:rsidR="008C6F82" w:rsidRPr="003C4AB6">
        <w:rPr>
          <w:sz w:val="24"/>
          <w:szCs w:val="24"/>
        </w:rPr>
        <w:t>, тяхната дейност е поставена под съдебен надзор, са сключили споразумение с кредитори, са преустановили дейност</w:t>
      </w:r>
      <w:r w:rsidR="00DB6BE4" w:rsidRPr="003C4AB6">
        <w:rPr>
          <w:sz w:val="24"/>
          <w:szCs w:val="24"/>
        </w:rPr>
        <w:t>та си</w:t>
      </w:r>
      <w:r w:rsidR="008C6F82" w:rsidRPr="003C4AB6">
        <w:rPr>
          <w:sz w:val="24"/>
          <w:szCs w:val="24"/>
        </w:rPr>
        <w:t>, са обект на производство, свързано с такива въпроси или се намират в подобна процедура съгласно националните законови и подзаконови актове;</w:t>
      </w:r>
    </w:p>
    <w:p w:rsidR="008C6F82" w:rsidRPr="003C4AB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б) </w:t>
      </w:r>
      <w:r w:rsidR="00DB6BE4" w:rsidRPr="003C4AB6">
        <w:rPr>
          <w:sz w:val="24"/>
          <w:szCs w:val="24"/>
        </w:rPr>
        <w:t>те или лицата с правомощия за представителство, вземане на решения или контрол спрямо тях са осъдени за престъпление по служба с влязла в сила присъда</w:t>
      </w:r>
      <w:r w:rsidRPr="003C4AB6">
        <w:rPr>
          <w:sz w:val="24"/>
          <w:szCs w:val="24"/>
        </w:rPr>
        <w:t>;</w:t>
      </w:r>
    </w:p>
    <w:p w:rsidR="008C6F82" w:rsidRPr="003C4AB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в) признати са за виновни за тежки правонарушения при упражняване на професионална</w:t>
      </w:r>
      <w:r w:rsidR="00DB6BE4" w:rsidRPr="003C4AB6">
        <w:rPr>
          <w:sz w:val="24"/>
          <w:szCs w:val="24"/>
        </w:rPr>
        <w:t>та си</w:t>
      </w:r>
      <w:r w:rsidRPr="003C4AB6">
        <w:rPr>
          <w:sz w:val="24"/>
          <w:szCs w:val="24"/>
        </w:rPr>
        <w:t xml:space="preserve"> дейност, доказани с всякакви средства, които </w:t>
      </w:r>
      <w:r w:rsidR="002D6F2E" w:rsidRPr="003C4AB6">
        <w:rPr>
          <w:sz w:val="24"/>
          <w:szCs w:val="24"/>
        </w:rPr>
        <w:t>Управляващия</w:t>
      </w:r>
      <w:r w:rsidRPr="003C4AB6">
        <w:rPr>
          <w:sz w:val="24"/>
          <w:szCs w:val="24"/>
        </w:rPr>
        <w:t xml:space="preserve"> орган може да обоснове включително с решения на Европейската инвестиционна банка и на международни организации;</w:t>
      </w:r>
    </w:p>
    <w:p w:rsidR="008C6F82" w:rsidRPr="003C4AB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г) не са изпълнили задължения, свързани с плащане на вноски за социално осигуряване или плащане на данъци по българското законодателство</w:t>
      </w:r>
      <w:r w:rsidR="005415EE" w:rsidRPr="003C4AB6">
        <w:rPr>
          <w:rFonts w:ascii="Verdana" w:eastAsia="Times New Roman" w:hAnsi="Verdana" w:cs="Times New Roman"/>
          <w:snapToGrid w:val="0"/>
          <w:sz w:val="20"/>
          <w:szCs w:val="20"/>
        </w:rPr>
        <w:t>,</w:t>
      </w:r>
      <w:r w:rsidR="005415EE" w:rsidRPr="003C4AB6">
        <w:rPr>
          <w:rFonts w:ascii="Times New Roman" w:eastAsia="Times New Roman" w:hAnsi="Times New Roman" w:cs="Times New Roman"/>
          <w:snapToGrid w:val="0"/>
          <w:sz w:val="24"/>
          <w:szCs w:val="20"/>
        </w:rPr>
        <w:t xml:space="preserve"> </w:t>
      </w:r>
      <w:r w:rsidR="005415EE" w:rsidRPr="003C4AB6">
        <w:rPr>
          <w:sz w:val="24"/>
          <w:szCs w:val="24"/>
        </w:rPr>
        <w:t>освен ако е допуснато разсрочване или отсрочване на задълженията;</w:t>
      </w:r>
    </w:p>
    <w:p w:rsidR="005C2CCB" w:rsidRPr="003C4AB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д) </w:t>
      </w:r>
      <w:r w:rsidR="00DB6BE4" w:rsidRPr="003C4AB6">
        <w:rPr>
          <w:sz w:val="24"/>
          <w:szCs w:val="24"/>
        </w:rPr>
        <w:t>те или лицата с правомощия за представителство, вземане на решения или контрол спрямо тях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8C6F82" w:rsidRPr="003C4AB6" w:rsidDel="005D355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sidDel="005D3556">
        <w:rPr>
          <w:sz w:val="24"/>
          <w:szCs w:val="24"/>
        </w:rPr>
        <w:t xml:space="preserve">е) им е наложено административно наказание отстраняване на съответния кандидат или </w:t>
      </w:r>
      <w:proofErr w:type="spellStart"/>
      <w:r w:rsidRPr="003C4AB6" w:rsidDel="005D3556">
        <w:rPr>
          <w:sz w:val="24"/>
          <w:szCs w:val="24"/>
        </w:rPr>
        <w:t>оферент</w:t>
      </w:r>
      <w:proofErr w:type="spellEnd"/>
      <w:r w:rsidRPr="003C4AB6" w:rsidDel="005D3556">
        <w:rPr>
          <w:sz w:val="24"/>
          <w:szCs w:val="24"/>
        </w:rPr>
        <w:t xml:space="preserve"> , или изпълнител от поръчките или безвъзмездните средства от бюджета на ЕС за срок до 10 години </w:t>
      </w:r>
      <w:r w:rsidR="004C2CB5" w:rsidRPr="003C4AB6">
        <w:rPr>
          <w:sz w:val="24"/>
          <w:szCs w:val="24"/>
        </w:rPr>
        <w:t>поради</w:t>
      </w:r>
      <w:r w:rsidRPr="003C4AB6" w:rsidDel="005D3556">
        <w:rPr>
          <w:sz w:val="24"/>
          <w:szCs w:val="24"/>
        </w:rPr>
        <w:t>:</w:t>
      </w:r>
    </w:p>
    <w:p w:rsidR="00144EDD" w:rsidRPr="003C4AB6" w:rsidRDefault="00CF37C9"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8C6F82" w:rsidRPr="003C4AB6" w:rsidDel="005D3556">
        <w:rPr>
          <w:sz w:val="24"/>
          <w:szCs w:val="24"/>
        </w:rPr>
        <w:t>умишлено представяне на документи с невярно съдържание при осигуряване на информацията, изискана като условие за участие в процедура, или за непредоставяне на тази информация;</w:t>
      </w:r>
      <w:r w:rsidR="00144EDD" w:rsidRPr="003C4AB6">
        <w:rPr>
          <w:sz w:val="24"/>
          <w:szCs w:val="24"/>
        </w:rPr>
        <w:t xml:space="preserve"> </w:t>
      </w:r>
    </w:p>
    <w:p w:rsidR="008C6F82" w:rsidRPr="003C4AB6" w:rsidDel="005D3556" w:rsidRDefault="00CF37C9"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8C6F82" w:rsidRPr="003C4AB6" w:rsidDel="005D3556">
        <w:rPr>
          <w:sz w:val="24"/>
          <w:szCs w:val="24"/>
        </w:rPr>
        <w:t>сериозно нарушение на техните задължения по договори, финансирани от бюджета на ЕС.</w:t>
      </w:r>
    </w:p>
    <w:p w:rsidR="008C6F82" w:rsidRPr="003C4AB6" w:rsidRDefault="008C6F82" w:rsidP="008C6F8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ж) са обект на конфликт на интереси по смисъла на </w:t>
      </w:r>
      <w:r w:rsidR="00F319BF" w:rsidRPr="003C4AB6">
        <w:rPr>
          <w:sz w:val="24"/>
          <w:szCs w:val="24"/>
        </w:rPr>
        <w:t xml:space="preserve">член </w:t>
      </w:r>
      <w:r w:rsidRPr="003C4AB6">
        <w:rPr>
          <w:sz w:val="24"/>
          <w:szCs w:val="24"/>
        </w:rPr>
        <w:t xml:space="preserve">57 от Регламент (ЕС, ЕВРАТОМ) № 966/2012 на Европейския парламент и на Съвета от 25 октомври 2012 относно </w:t>
      </w:r>
      <w:r w:rsidRPr="003C4AB6">
        <w:rPr>
          <w:sz w:val="24"/>
          <w:szCs w:val="24"/>
        </w:rPr>
        <w:lastRenderedPageBreak/>
        <w:t xml:space="preserve">финансовите правила, приложими за общия бюджет на Съюза и за отмяна на Регламент (ЕО, </w:t>
      </w:r>
      <w:proofErr w:type="spellStart"/>
      <w:r w:rsidRPr="003C4AB6">
        <w:rPr>
          <w:sz w:val="24"/>
          <w:szCs w:val="24"/>
        </w:rPr>
        <w:t>Евратом</w:t>
      </w:r>
      <w:proofErr w:type="spellEnd"/>
      <w:r w:rsidRPr="003C4AB6">
        <w:rPr>
          <w:sz w:val="24"/>
          <w:szCs w:val="24"/>
        </w:rPr>
        <w:t>) № 1605/2002 на Съвета, включително и:</w:t>
      </w:r>
    </w:p>
    <w:p w:rsidR="008C6F82" w:rsidRPr="003C4AB6" w:rsidRDefault="008C6F82" w:rsidP="00D2291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i)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допълнителната разпоредба на Закона за предотвратяване и установяване на конфликт на интереси с рък</w:t>
      </w:r>
      <w:r w:rsidR="005415EE" w:rsidRPr="003C4AB6">
        <w:rPr>
          <w:sz w:val="24"/>
          <w:szCs w:val="24"/>
        </w:rPr>
        <w:t>оводителя на Управляващия орган</w:t>
      </w:r>
      <w:r w:rsidRPr="003C4AB6">
        <w:rPr>
          <w:sz w:val="24"/>
          <w:szCs w:val="24"/>
        </w:rPr>
        <w:t xml:space="preserve"> или със служители на ръководн</w:t>
      </w:r>
      <w:r w:rsidR="005415EE" w:rsidRPr="003C4AB6">
        <w:rPr>
          <w:sz w:val="24"/>
          <w:szCs w:val="24"/>
        </w:rPr>
        <w:t>а длъжност в Управляващия орган</w:t>
      </w:r>
      <w:r w:rsidRPr="003C4AB6">
        <w:rPr>
          <w:sz w:val="24"/>
          <w:szCs w:val="24"/>
        </w:rPr>
        <w:t>;</w:t>
      </w:r>
    </w:p>
    <w:p w:rsidR="008C6F82" w:rsidRPr="003C4AB6" w:rsidRDefault="008C6F82" w:rsidP="00D2291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ii) с които лице, на трудово или служебно прав</w:t>
      </w:r>
      <w:r w:rsidR="005415EE" w:rsidRPr="003C4AB6">
        <w:rPr>
          <w:sz w:val="24"/>
          <w:szCs w:val="24"/>
        </w:rPr>
        <w:t>оотношение в Управляващия орган</w:t>
      </w:r>
      <w:r w:rsidRPr="003C4AB6">
        <w:rPr>
          <w:sz w:val="24"/>
          <w:szCs w:val="24"/>
        </w:rPr>
        <w:t xml:space="preserve">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144EDD" w:rsidRPr="003C4AB6" w:rsidRDefault="008C6F82" w:rsidP="00D2291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iii) ограниченията по т. ii се прилагат и за кандидатите, които са свързани с дружества, за които са налице обстоятелствата по предходната точка;</w:t>
      </w:r>
    </w:p>
    <w:p w:rsidR="008C6F82" w:rsidRPr="003C4AB6" w:rsidRDefault="008C6F82" w:rsidP="00D2291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iv) е лице или се представлява от лице, което е на трудово или служебно правоотношение в Управляващия орган до една година от прекратяване на правоотношението;</w:t>
      </w:r>
    </w:p>
    <w:p w:rsidR="008C6F82" w:rsidRPr="003C4AB6" w:rsidRDefault="008C6F82" w:rsidP="00D22912">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v) конфликт на интереси е налице и когато лицето, предоставящо консултантски услуги на кандидата, попада в случаите по т. i – iv.</w:t>
      </w:r>
    </w:p>
    <w:p w:rsidR="008C6F82" w:rsidRDefault="008C6F82" w:rsidP="00F95100">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sidRPr="003C4AB6">
        <w:rPr>
          <w:sz w:val="24"/>
          <w:szCs w:val="24"/>
        </w:rPr>
        <w:t>з)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w:t>
      </w:r>
    </w:p>
    <w:p w:rsidR="009B702E" w:rsidRPr="003C4AB6" w:rsidRDefault="009B702E" w:rsidP="00F95100">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Pr>
          <w:sz w:val="24"/>
          <w:szCs w:val="24"/>
        </w:rPr>
        <w:t>и) са</w:t>
      </w:r>
      <w:r w:rsidRPr="009B702E">
        <w:rPr>
          <w:sz w:val="24"/>
          <w:szCs w:val="24"/>
        </w:rPr>
        <w:t xml:space="preserve">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rsidR="00CF37C9" w:rsidRPr="003C4AB6" w:rsidRDefault="00A1673C" w:rsidP="007501F1">
      <w:pPr>
        <w:pBdr>
          <w:top w:val="single" w:sz="4" w:space="1" w:color="auto"/>
          <w:left w:val="single" w:sz="4" w:space="4" w:color="auto"/>
          <w:bottom w:val="single" w:sz="4" w:space="1" w:color="auto"/>
          <w:right w:val="single" w:sz="4" w:space="4" w:color="auto"/>
        </w:pBdr>
        <w:shd w:val="clear" w:color="auto" w:fill="FFFFFF" w:themeFill="background1"/>
        <w:tabs>
          <w:tab w:val="left" w:pos="-3402"/>
          <w:tab w:val="right" w:pos="9720"/>
        </w:tabs>
        <w:spacing w:before="120" w:after="120" w:line="240" w:lineRule="auto"/>
        <w:jc w:val="both"/>
        <w:rPr>
          <w:rFonts w:eastAsia="Times New Roman" w:cstheme="minorHAnsi"/>
          <w:snapToGrid w:val="0"/>
          <w:sz w:val="24"/>
          <w:szCs w:val="20"/>
        </w:rPr>
      </w:pPr>
      <w:r w:rsidRPr="0018607E">
        <w:rPr>
          <w:rFonts w:eastAsia="Times New Roman" w:cstheme="minorHAnsi"/>
          <w:b/>
          <w:snapToGrid w:val="0"/>
          <w:sz w:val="24"/>
          <w:szCs w:val="20"/>
        </w:rPr>
        <w:t>ВАЖНО</w:t>
      </w:r>
      <w:r w:rsidRPr="0018607E">
        <w:rPr>
          <w:rFonts w:eastAsia="Times New Roman" w:cstheme="minorHAnsi"/>
          <w:snapToGrid w:val="0"/>
          <w:sz w:val="24"/>
          <w:szCs w:val="20"/>
        </w:rPr>
        <w:t xml:space="preserve">: </w:t>
      </w:r>
      <w:r w:rsidR="00701BE1" w:rsidRPr="0018607E">
        <w:rPr>
          <w:rFonts w:eastAsia="Times New Roman" w:cstheme="minorHAnsi"/>
          <w:snapToGrid w:val="0"/>
          <w:sz w:val="24"/>
          <w:szCs w:val="20"/>
        </w:rPr>
        <w:t xml:space="preserve">Съгласно чл. 9, ал. 4 и 5 във връзка с чл. 9, ал. 2 от </w:t>
      </w:r>
      <w:r w:rsidR="00701BE1" w:rsidRPr="0018607E">
        <w:rPr>
          <w:rFonts w:eastAsia="Times New Roman" w:cstheme="minorHAnsi"/>
          <w:snapToGrid w:val="0"/>
          <w:sz w:val="24"/>
          <w:szCs w:val="24"/>
        </w:rPr>
        <w:t>ПМС № 107/10.05.2014 г.</w:t>
      </w:r>
      <w:r w:rsidR="0018607E" w:rsidRPr="0018607E">
        <w:rPr>
          <w:rFonts w:eastAsia="Times New Roman" w:cstheme="minorHAnsi"/>
          <w:snapToGrid w:val="0"/>
          <w:sz w:val="24"/>
          <w:szCs w:val="24"/>
        </w:rPr>
        <w:t xml:space="preserve"> и чл. 25, ал. 2  от ЗУСЕСИФ</w:t>
      </w:r>
      <w:r w:rsidR="00701BE1" w:rsidRPr="0018607E">
        <w:rPr>
          <w:rFonts w:eastAsia="Times New Roman" w:cstheme="minorHAnsi"/>
          <w:snapToGrid w:val="0"/>
          <w:sz w:val="24"/>
          <w:szCs w:val="24"/>
        </w:rPr>
        <w:t xml:space="preserve"> и</w:t>
      </w:r>
      <w:r w:rsidR="00701BE1" w:rsidRPr="0018607E">
        <w:rPr>
          <w:rFonts w:eastAsia="Times New Roman" w:cstheme="minorHAnsi"/>
          <w:snapToGrid w:val="0"/>
          <w:sz w:val="24"/>
          <w:szCs w:val="20"/>
        </w:rPr>
        <w:t xml:space="preserve">зискванията </w:t>
      </w:r>
      <w:r w:rsidRPr="0018607E">
        <w:rPr>
          <w:rFonts w:eastAsia="Times New Roman" w:cstheme="minorHAnsi"/>
          <w:snapToGrid w:val="0"/>
          <w:sz w:val="24"/>
          <w:szCs w:val="20"/>
        </w:rPr>
        <w:t>по точки (б), (в), (д), (е), (ж)</w:t>
      </w:r>
      <w:r w:rsidR="003C0578" w:rsidRPr="0018607E">
        <w:rPr>
          <w:rFonts w:eastAsia="Times New Roman" w:cstheme="minorHAnsi"/>
          <w:snapToGrid w:val="0"/>
          <w:sz w:val="24"/>
          <w:szCs w:val="20"/>
        </w:rPr>
        <w:t>,</w:t>
      </w:r>
      <w:r w:rsidRPr="0018607E">
        <w:rPr>
          <w:rFonts w:eastAsia="Times New Roman" w:cstheme="minorHAnsi"/>
          <w:snapToGrid w:val="0"/>
          <w:sz w:val="24"/>
          <w:szCs w:val="20"/>
        </w:rPr>
        <w:t xml:space="preserve"> (з) </w:t>
      </w:r>
      <w:r w:rsidR="003C0578" w:rsidRPr="0018607E">
        <w:rPr>
          <w:rFonts w:eastAsia="Times New Roman" w:cstheme="minorHAnsi"/>
          <w:snapToGrid w:val="0"/>
          <w:sz w:val="24"/>
          <w:szCs w:val="20"/>
        </w:rPr>
        <w:t xml:space="preserve">и (и) </w:t>
      </w:r>
      <w:r w:rsidRPr="0018607E">
        <w:rPr>
          <w:rFonts w:eastAsia="Times New Roman" w:cstheme="minorHAnsi"/>
          <w:snapToGrid w:val="0"/>
          <w:sz w:val="24"/>
          <w:szCs w:val="20"/>
        </w:rPr>
        <w:t xml:space="preserve">се отнасят </w:t>
      </w:r>
      <w:r w:rsidR="00701BE1" w:rsidRPr="0018607E">
        <w:rPr>
          <w:rFonts w:eastAsia="Times New Roman" w:cstheme="minorHAnsi"/>
          <w:snapToGrid w:val="0"/>
          <w:sz w:val="24"/>
          <w:szCs w:val="20"/>
        </w:rPr>
        <w:t xml:space="preserve">и </w:t>
      </w:r>
      <w:r w:rsidRPr="0018607E">
        <w:rPr>
          <w:rFonts w:eastAsia="Times New Roman" w:cstheme="minorHAnsi"/>
          <w:b/>
          <w:snapToGrid w:val="0"/>
          <w:sz w:val="24"/>
          <w:szCs w:val="20"/>
        </w:rPr>
        <w:t>за всички лица</w:t>
      </w:r>
      <w:r w:rsidR="00A101BC" w:rsidRPr="0018607E">
        <w:rPr>
          <w:rFonts w:eastAsia="Times New Roman" w:cstheme="minorHAnsi"/>
          <w:b/>
          <w:snapToGrid w:val="0"/>
          <w:sz w:val="24"/>
          <w:szCs w:val="20"/>
        </w:rPr>
        <w:t xml:space="preserve"> с право</w:t>
      </w:r>
      <w:r w:rsidRPr="0018607E">
        <w:rPr>
          <w:rFonts w:eastAsia="Times New Roman" w:cstheme="minorHAnsi"/>
          <w:b/>
          <w:snapToGrid w:val="0"/>
          <w:sz w:val="24"/>
          <w:szCs w:val="20"/>
        </w:rPr>
        <w:t xml:space="preserve"> да представляват предприятието-кандидат</w:t>
      </w:r>
      <w:r w:rsidR="00B033F8" w:rsidRPr="0018607E">
        <w:rPr>
          <w:rStyle w:val="FootnoteReference"/>
          <w:rFonts w:eastAsia="Times New Roman" w:cstheme="minorHAnsi"/>
          <w:b/>
          <w:snapToGrid w:val="0"/>
          <w:sz w:val="24"/>
          <w:szCs w:val="20"/>
        </w:rPr>
        <w:footnoteReference w:id="5"/>
      </w:r>
      <w:r w:rsidRPr="0018607E">
        <w:rPr>
          <w:rFonts w:eastAsia="Times New Roman" w:cstheme="minorHAnsi"/>
          <w:snapToGrid w:val="0"/>
          <w:sz w:val="24"/>
          <w:szCs w:val="20"/>
        </w:rPr>
        <w:t>.</w:t>
      </w:r>
      <w:r w:rsidR="00C416FF" w:rsidRPr="0018607E">
        <w:rPr>
          <w:rFonts w:eastAsia="Times New Roman" w:cstheme="minorHAnsi"/>
          <w:snapToGrid w:val="0"/>
          <w:sz w:val="24"/>
          <w:szCs w:val="20"/>
        </w:rPr>
        <w:t xml:space="preserve"> </w:t>
      </w:r>
      <w:r w:rsidRPr="0018607E">
        <w:rPr>
          <w:rFonts w:eastAsia="Times New Roman" w:cstheme="minorHAnsi"/>
          <w:snapToGrid w:val="0"/>
          <w:sz w:val="24"/>
          <w:szCs w:val="24"/>
        </w:rPr>
        <w:t>Кандидатите са длъжни да декларират, че не попадат в някоя от категориите, посочени</w:t>
      </w:r>
      <w:r w:rsidRPr="003C4AB6">
        <w:rPr>
          <w:rFonts w:eastAsia="Times New Roman" w:cstheme="minorHAnsi"/>
          <w:snapToGrid w:val="0"/>
          <w:sz w:val="24"/>
          <w:szCs w:val="24"/>
        </w:rPr>
        <w:t xml:space="preserve"> в точки от (a) до (</w:t>
      </w:r>
      <w:r w:rsidR="003C0578">
        <w:rPr>
          <w:rFonts w:eastAsia="Times New Roman" w:cstheme="minorHAnsi"/>
          <w:snapToGrid w:val="0"/>
          <w:sz w:val="24"/>
          <w:szCs w:val="24"/>
        </w:rPr>
        <w:t>и</w:t>
      </w:r>
      <w:r w:rsidRPr="003C4AB6">
        <w:rPr>
          <w:rFonts w:eastAsia="Times New Roman" w:cstheme="minorHAnsi"/>
          <w:snapToGrid w:val="0"/>
          <w:sz w:val="24"/>
          <w:szCs w:val="24"/>
        </w:rPr>
        <w:t>), к</w:t>
      </w:r>
      <w:r w:rsidR="00CC4815" w:rsidRPr="003C4AB6">
        <w:rPr>
          <w:rFonts w:eastAsia="Times New Roman" w:cstheme="minorHAnsi"/>
          <w:snapToGrid w:val="0"/>
          <w:sz w:val="24"/>
          <w:szCs w:val="24"/>
        </w:rPr>
        <w:t>ато попълнят Декларация по чл. 9</w:t>
      </w:r>
      <w:r w:rsidR="00D56700" w:rsidRPr="003C4AB6">
        <w:rPr>
          <w:rFonts w:eastAsia="Times New Roman" w:cstheme="minorHAnsi"/>
          <w:snapToGrid w:val="0"/>
          <w:sz w:val="24"/>
          <w:szCs w:val="24"/>
        </w:rPr>
        <w:t xml:space="preserve">, ал. 8, т. 1 от </w:t>
      </w:r>
      <w:r w:rsidR="00D56700" w:rsidRPr="008D1CA3">
        <w:rPr>
          <w:rFonts w:eastAsia="Times New Roman" w:cstheme="minorHAnsi"/>
          <w:snapToGrid w:val="0"/>
          <w:sz w:val="24"/>
          <w:szCs w:val="24"/>
        </w:rPr>
        <w:t>ПМС № 107/10.05.2014</w:t>
      </w:r>
      <w:r w:rsidR="00AD4D50">
        <w:rPr>
          <w:rFonts w:eastAsia="Times New Roman" w:cstheme="minorHAnsi"/>
          <w:snapToGrid w:val="0"/>
          <w:sz w:val="24"/>
          <w:szCs w:val="24"/>
        </w:rPr>
        <w:t xml:space="preserve"> и</w:t>
      </w:r>
      <w:r w:rsidR="006A7E3B" w:rsidRPr="003C4AB6">
        <w:rPr>
          <w:rFonts w:eastAsia="Times New Roman" w:cstheme="minorHAnsi"/>
          <w:snapToGrid w:val="0"/>
          <w:sz w:val="24"/>
          <w:szCs w:val="24"/>
        </w:rPr>
        <w:t xml:space="preserve"> </w:t>
      </w:r>
      <w:r w:rsidR="00AD4D50" w:rsidRPr="003C0578">
        <w:rPr>
          <w:rFonts w:eastAsia="Times New Roman" w:cstheme="minorHAnsi"/>
          <w:snapToGrid w:val="0"/>
          <w:sz w:val="24"/>
          <w:szCs w:val="24"/>
        </w:rPr>
        <w:t xml:space="preserve">чл. 25, ал. 2 от Закона за управление на средствата от европейските структурни и инвестиционни фондове </w:t>
      </w:r>
      <w:r w:rsidR="006A7E3B" w:rsidRPr="003C4AB6">
        <w:rPr>
          <w:rFonts w:eastAsia="Times New Roman" w:cstheme="minorHAnsi"/>
          <w:snapToGrid w:val="0"/>
          <w:sz w:val="24"/>
          <w:szCs w:val="24"/>
        </w:rPr>
        <w:t>(Приложение</w:t>
      </w:r>
      <w:r w:rsidR="008D547A" w:rsidRPr="003C4AB6">
        <w:rPr>
          <w:rFonts w:eastAsia="Times New Roman" w:cstheme="minorHAnsi"/>
          <w:snapToGrid w:val="0"/>
          <w:sz w:val="24"/>
          <w:szCs w:val="24"/>
        </w:rPr>
        <w:t xml:space="preserve"> В</w:t>
      </w:r>
      <w:r w:rsidRPr="003C4AB6">
        <w:rPr>
          <w:rFonts w:eastAsia="Times New Roman" w:cstheme="minorHAnsi"/>
          <w:snapToGrid w:val="0"/>
          <w:sz w:val="24"/>
          <w:szCs w:val="24"/>
        </w:rPr>
        <w:t xml:space="preserve"> към </w:t>
      </w:r>
      <w:r w:rsidR="007B1E28">
        <w:rPr>
          <w:rFonts w:eastAsia="Times New Roman" w:cstheme="minorHAnsi"/>
          <w:snapToGrid w:val="0"/>
          <w:sz w:val="24"/>
          <w:szCs w:val="24"/>
        </w:rPr>
        <w:t>Условия</w:t>
      </w:r>
      <w:r w:rsidRPr="003C4AB6">
        <w:rPr>
          <w:rFonts w:eastAsia="Times New Roman" w:cstheme="minorHAnsi"/>
          <w:snapToGrid w:val="0"/>
          <w:sz w:val="24"/>
          <w:szCs w:val="24"/>
        </w:rPr>
        <w:t>т</w:t>
      </w:r>
      <w:r w:rsidR="00F53AB3">
        <w:rPr>
          <w:rFonts w:eastAsia="Times New Roman" w:cstheme="minorHAnsi"/>
          <w:snapToGrid w:val="0"/>
          <w:sz w:val="24"/>
          <w:szCs w:val="24"/>
        </w:rPr>
        <w:t>а</w:t>
      </w:r>
      <w:r w:rsidRPr="003C4AB6">
        <w:rPr>
          <w:rFonts w:eastAsia="Times New Roman" w:cstheme="minorHAnsi"/>
          <w:snapToGrid w:val="0"/>
          <w:sz w:val="24"/>
          <w:szCs w:val="24"/>
        </w:rPr>
        <w:t xml:space="preserve"> за кандидатстване).</w:t>
      </w:r>
      <w:r w:rsidR="00C416FF" w:rsidRPr="003C4AB6">
        <w:rPr>
          <w:rFonts w:eastAsia="Times New Roman" w:cstheme="minorHAnsi"/>
          <w:snapToGrid w:val="0"/>
          <w:sz w:val="24"/>
          <w:szCs w:val="20"/>
        </w:rPr>
        <w:t xml:space="preserve"> </w:t>
      </w:r>
      <w:r w:rsidRPr="003C4AB6">
        <w:rPr>
          <w:rFonts w:eastAsia="Times New Roman" w:cstheme="minorHAnsi"/>
          <w:snapToGrid w:val="0"/>
          <w:sz w:val="24"/>
          <w:szCs w:val="24"/>
        </w:rPr>
        <w:t>Моля</w:t>
      </w:r>
      <w:r w:rsidR="007501F1" w:rsidRPr="003C4AB6">
        <w:rPr>
          <w:rFonts w:eastAsia="Times New Roman" w:cstheme="minorHAnsi"/>
          <w:snapToGrid w:val="0"/>
          <w:sz w:val="24"/>
          <w:szCs w:val="24"/>
        </w:rPr>
        <w:t>,</w:t>
      </w:r>
      <w:r w:rsidR="00C431CC">
        <w:rPr>
          <w:rFonts w:eastAsia="Times New Roman" w:cstheme="minorHAnsi"/>
          <w:snapToGrid w:val="0"/>
          <w:sz w:val="24"/>
          <w:szCs w:val="24"/>
        </w:rPr>
        <w:t xml:space="preserve"> обърнете внимание, че</w:t>
      </w:r>
      <w:r w:rsidR="00C431CC">
        <w:rPr>
          <w:rFonts w:eastAsia="Times New Roman" w:cstheme="minorHAnsi"/>
          <w:snapToGrid w:val="0"/>
          <w:sz w:val="24"/>
          <w:szCs w:val="24"/>
          <w:lang w:val="en-US"/>
        </w:rPr>
        <w:t xml:space="preserve"> </w:t>
      </w:r>
      <w:bookmarkStart w:id="13" w:name="_GoBack"/>
      <w:bookmarkEnd w:id="13"/>
      <w:r w:rsidR="003C0578">
        <w:rPr>
          <w:rFonts w:eastAsia="Times New Roman" w:cstheme="minorHAnsi"/>
          <w:snapToGrid w:val="0"/>
          <w:sz w:val="24"/>
          <w:szCs w:val="24"/>
        </w:rPr>
        <w:t>деклараци</w:t>
      </w:r>
      <w:r w:rsidR="00754AA9">
        <w:rPr>
          <w:rFonts w:eastAsia="Times New Roman" w:cstheme="minorHAnsi"/>
          <w:snapToGrid w:val="0"/>
          <w:sz w:val="24"/>
          <w:szCs w:val="24"/>
        </w:rPr>
        <w:t>ята</w:t>
      </w:r>
      <w:r w:rsidRPr="003C4AB6">
        <w:rPr>
          <w:rFonts w:eastAsia="Times New Roman" w:cstheme="minorHAnsi"/>
          <w:snapToGrid w:val="0"/>
          <w:sz w:val="24"/>
          <w:szCs w:val="24"/>
        </w:rPr>
        <w:t xml:space="preserve"> следва да бъд</w:t>
      </w:r>
      <w:r w:rsidR="00754AA9">
        <w:rPr>
          <w:rFonts w:eastAsia="Times New Roman" w:cstheme="minorHAnsi"/>
          <w:snapToGrid w:val="0"/>
          <w:sz w:val="24"/>
          <w:szCs w:val="24"/>
        </w:rPr>
        <w:t>е</w:t>
      </w:r>
      <w:r w:rsidRPr="003C4AB6">
        <w:rPr>
          <w:rFonts w:eastAsia="Times New Roman" w:cstheme="minorHAnsi"/>
          <w:snapToGrid w:val="0"/>
          <w:sz w:val="24"/>
          <w:szCs w:val="24"/>
        </w:rPr>
        <w:t xml:space="preserve"> попълнен</w:t>
      </w:r>
      <w:r w:rsidR="00754AA9">
        <w:rPr>
          <w:rFonts w:eastAsia="Times New Roman" w:cstheme="minorHAnsi"/>
          <w:snapToGrid w:val="0"/>
          <w:sz w:val="24"/>
          <w:szCs w:val="24"/>
        </w:rPr>
        <w:t>а</w:t>
      </w:r>
      <w:r w:rsidRPr="003C4AB6">
        <w:rPr>
          <w:rFonts w:eastAsia="Times New Roman" w:cstheme="minorHAnsi"/>
          <w:snapToGrid w:val="0"/>
          <w:sz w:val="24"/>
          <w:szCs w:val="24"/>
        </w:rPr>
        <w:t xml:space="preserve"> и подписан</w:t>
      </w:r>
      <w:r w:rsidR="00754AA9">
        <w:rPr>
          <w:rFonts w:eastAsia="Times New Roman" w:cstheme="minorHAnsi"/>
          <w:snapToGrid w:val="0"/>
          <w:sz w:val="24"/>
          <w:szCs w:val="24"/>
        </w:rPr>
        <w:t>а</w:t>
      </w:r>
      <w:r w:rsidRPr="003C4AB6">
        <w:rPr>
          <w:rFonts w:eastAsia="Times New Roman" w:cstheme="minorHAnsi"/>
          <w:snapToGrid w:val="0"/>
          <w:sz w:val="24"/>
          <w:szCs w:val="24"/>
        </w:rPr>
        <w:t xml:space="preserve"> от </w:t>
      </w:r>
      <w:r w:rsidRPr="003C4AB6">
        <w:rPr>
          <w:rFonts w:eastAsia="Times New Roman" w:cstheme="minorHAnsi"/>
          <w:b/>
          <w:snapToGrid w:val="0"/>
          <w:sz w:val="24"/>
          <w:szCs w:val="20"/>
        </w:rPr>
        <w:t>всички лиц</w:t>
      </w:r>
      <w:r w:rsidR="00423C93" w:rsidRPr="003C4AB6">
        <w:rPr>
          <w:rFonts w:eastAsia="Times New Roman" w:cstheme="minorHAnsi"/>
          <w:b/>
          <w:snapToGrid w:val="0"/>
          <w:sz w:val="24"/>
          <w:szCs w:val="20"/>
        </w:rPr>
        <w:t>а с право</w:t>
      </w:r>
      <w:r w:rsidRPr="003C4AB6">
        <w:rPr>
          <w:rFonts w:eastAsia="Times New Roman" w:cstheme="minorHAnsi"/>
          <w:b/>
          <w:snapToGrid w:val="0"/>
          <w:sz w:val="24"/>
          <w:szCs w:val="20"/>
        </w:rPr>
        <w:t xml:space="preserve"> да представляват предприятието-кандидат (независимо от това дали го представляват заедно и/или поотделно, и/или по друг начин)</w:t>
      </w:r>
      <w:r w:rsidR="007501F1" w:rsidRPr="003C4AB6">
        <w:rPr>
          <w:rFonts w:eastAsia="Times New Roman" w:cstheme="minorHAnsi"/>
          <w:snapToGrid w:val="0"/>
          <w:sz w:val="24"/>
          <w:szCs w:val="20"/>
        </w:rPr>
        <w:t xml:space="preserve">. </w:t>
      </w:r>
    </w:p>
    <w:p w:rsidR="006072DE" w:rsidRPr="003C4AB6" w:rsidRDefault="006072DE" w:rsidP="00F95100">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1209AF" w:rsidRPr="003C4AB6" w:rsidRDefault="004A0C62" w:rsidP="00F9510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2/</w:t>
      </w:r>
      <w:r w:rsidR="006072DE" w:rsidRPr="003C4AB6">
        <w:rPr>
          <w:sz w:val="24"/>
          <w:szCs w:val="24"/>
        </w:rPr>
        <w:t xml:space="preserve"> </w:t>
      </w:r>
      <w:r w:rsidR="008E7749" w:rsidRPr="003C4AB6">
        <w:rPr>
          <w:sz w:val="24"/>
          <w:szCs w:val="24"/>
        </w:rPr>
        <w:t xml:space="preserve">Потенциалните кандидати </w:t>
      </w:r>
      <w:r w:rsidR="00562CBD" w:rsidRPr="003C4AB6">
        <w:rPr>
          <w:b/>
          <w:sz w:val="24"/>
          <w:szCs w:val="24"/>
        </w:rPr>
        <w:t xml:space="preserve">не могат да </w:t>
      </w:r>
      <w:r w:rsidR="00C4130D" w:rsidRPr="003C4AB6">
        <w:rPr>
          <w:b/>
          <w:sz w:val="24"/>
          <w:szCs w:val="24"/>
        </w:rPr>
        <w:t>участват</w:t>
      </w:r>
      <w:r w:rsidR="006C261D" w:rsidRPr="003C4AB6">
        <w:rPr>
          <w:b/>
          <w:sz w:val="24"/>
          <w:szCs w:val="24"/>
        </w:rPr>
        <w:t xml:space="preserve"> </w:t>
      </w:r>
      <w:r w:rsidR="008E7749" w:rsidRPr="003C4AB6">
        <w:rPr>
          <w:sz w:val="24"/>
          <w:szCs w:val="24"/>
        </w:rPr>
        <w:t>в процедурата и да получат безвъзмезд</w:t>
      </w:r>
      <w:r w:rsidR="00522524" w:rsidRPr="003C4AB6">
        <w:rPr>
          <w:sz w:val="24"/>
          <w:szCs w:val="24"/>
        </w:rPr>
        <w:t xml:space="preserve">на финансова помощ, в случай че </w:t>
      </w:r>
      <w:r w:rsidR="0007015D" w:rsidRPr="003C4AB6">
        <w:rPr>
          <w:sz w:val="24"/>
          <w:szCs w:val="24"/>
        </w:rPr>
        <w:t xml:space="preserve">попадат в </w:t>
      </w:r>
      <w:r w:rsidR="0007015D" w:rsidRPr="003C4AB6">
        <w:rPr>
          <w:b/>
          <w:sz w:val="24"/>
          <w:szCs w:val="24"/>
        </w:rPr>
        <w:t>забранителните режими</w:t>
      </w:r>
      <w:r w:rsidR="008140BD" w:rsidRPr="003C4AB6">
        <w:rPr>
          <w:sz w:val="24"/>
          <w:szCs w:val="24"/>
        </w:rPr>
        <w:t xml:space="preserve"> на </w:t>
      </w:r>
      <w:r w:rsidR="00C4130D" w:rsidRPr="003C4AB6">
        <w:rPr>
          <w:bCs/>
          <w:sz w:val="24"/>
          <w:szCs w:val="24"/>
        </w:rPr>
        <w:t xml:space="preserve">Регламент на Комисията (ЕС) № 1407/2013 </w:t>
      </w:r>
      <w:r w:rsidR="0007015D" w:rsidRPr="003C4AB6">
        <w:rPr>
          <w:sz w:val="24"/>
          <w:szCs w:val="24"/>
        </w:rPr>
        <w:t xml:space="preserve">и </w:t>
      </w:r>
      <w:r w:rsidR="001209AF" w:rsidRPr="003C4AB6">
        <w:rPr>
          <w:sz w:val="24"/>
          <w:szCs w:val="24"/>
        </w:rPr>
        <w:t>по-</w:t>
      </w:r>
      <w:r w:rsidR="0007015D" w:rsidRPr="003C4AB6">
        <w:rPr>
          <w:sz w:val="24"/>
          <w:szCs w:val="24"/>
        </w:rPr>
        <w:t>конкретно</w:t>
      </w:r>
      <w:r w:rsidR="001209AF" w:rsidRPr="003C4AB6">
        <w:rPr>
          <w:sz w:val="24"/>
          <w:szCs w:val="24"/>
        </w:rPr>
        <w:t xml:space="preserve"> ако</w:t>
      </w:r>
      <w:r w:rsidR="004138BA" w:rsidRPr="003C4AB6">
        <w:rPr>
          <w:sz w:val="24"/>
          <w:szCs w:val="24"/>
        </w:rPr>
        <w:t>:</w:t>
      </w:r>
    </w:p>
    <w:p w:rsidR="00D05B0C" w:rsidRPr="003C4AB6" w:rsidRDefault="004A0C62" w:rsidP="005100FE">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3C4AB6">
        <w:rPr>
          <w:b/>
          <w:sz w:val="24"/>
          <w:szCs w:val="24"/>
        </w:rPr>
        <w:t>А/</w:t>
      </w:r>
      <w:r w:rsidR="0007015D" w:rsidRPr="003C4AB6">
        <w:rPr>
          <w:sz w:val="24"/>
          <w:szCs w:val="24"/>
        </w:rPr>
        <w:t xml:space="preserve"> </w:t>
      </w:r>
      <w:r w:rsidR="001209AF" w:rsidRPr="003C4AB6">
        <w:rPr>
          <w:b/>
          <w:sz w:val="24"/>
          <w:szCs w:val="24"/>
        </w:rPr>
        <w:t>Т</w:t>
      </w:r>
      <w:r w:rsidR="0007015D" w:rsidRPr="003C4AB6">
        <w:rPr>
          <w:b/>
          <w:sz w:val="24"/>
          <w:szCs w:val="24"/>
        </w:rPr>
        <w:t>яхната основна дейност или дейността, за която кандидатстват се отнася до</w:t>
      </w:r>
      <w:r w:rsidR="00252ADA" w:rsidRPr="003C4AB6">
        <w:rPr>
          <w:rStyle w:val="FootnoteReference"/>
          <w:b/>
          <w:sz w:val="24"/>
          <w:szCs w:val="24"/>
        </w:rPr>
        <w:footnoteReference w:id="6"/>
      </w:r>
      <w:r w:rsidR="0007015D" w:rsidRPr="003C4AB6">
        <w:rPr>
          <w:b/>
          <w:sz w:val="24"/>
          <w:szCs w:val="24"/>
        </w:rPr>
        <w:t>:</w:t>
      </w:r>
    </w:p>
    <w:p w:rsidR="005F0862" w:rsidRPr="003C4AB6" w:rsidRDefault="00437BEA"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w:t>
      </w:r>
      <w:r w:rsidR="005F0862" w:rsidRPr="003C4AB6">
        <w:rPr>
          <w:sz w:val="24"/>
          <w:szCs w:val="24"/>
        </w:rPr>
        <w:t xml:space="preserve">сектора на рибарството и </w:t>
      </w:r>
      <w:proofErr w:type="spellStart"/>
      <w:r w:rsidR="005F0862" w:rsidRPr="003C4AB6">
        <w:rPr>
          <w:sz w:val="24"/>
          <w:szCs w:val="24"/>
        </w:rPr>
        <w:t>аквакултурите</w:t>
      </w:r>
      <w:proofErr w:type="spellEnd"/>
      <w:r w:rsidR="005F0862" w:rsidRPr="003C4AB6">
        <w:rPr>
          <w:sz w:val="24"/>
          <w:szCs w:val="24"/>
        </w:rPr>
        <w:t>, обхванати от Регламент (ЕО) № 104/2000;</w:t>
      </w:r>
    </w:p>
    <w:p w:rsidR="005F0862" w:rsidRPr="003C4AB6" w:rsidRDefault="007C6B76"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lastRenderedPageBreak/>
        <w:t xml:space="preserve">• </w:t>
      </w:r>
      <w:r w:rsidR="005F0862" w:rsidRPr="003C4AB6">
        <w:rPr>
          <w:sz w:val="24"/>
          <w:szCs w:val="24"/>
          <w:lang w:val="bg"/>
        </w:rPr>
        <w:t>сектора на първичното производство на селскостопански продукти;</w:t>
      </w:r>
      <w:r w:rsidR="005F0862" w:rsidRPr="003C4AB6">
        <w:rPr>
          <w:sz w:val="24"/>
          <w:szCs w:val="24"/>
        </w:rPr>
        <w:t xml:space="preserve"> </w:t>
      </w:r>
    </w:p>
    <w:p w:rsidR="008B5BA0" w:rsidRPr="003C4AB6" w:rsidRDefault="007921BF" w:rsidP="008B5BA0">
      <w:pPr>
        <w:pBdr>
          <w:top w:val="single" w:sz="4" w:space="1" w:color="auto"/>
          <w:left w:val="single" w:sz="4" w:space="4" w:color="auto"/>
          <w:bottom w:val="single" w:sz="4" w:space="1" w:color="auto"/>
          <w:right w:val="single" w:sz="4" w:space="4" w:color="auto"/>
        </w:pBdr>
        <w:spacing w:after="0" w:line="240" w:lineRule="auto"/>
        <w:jc w:val="both"/>
        <w:rPr>
          <w:sz w:val="24"/>
          <w:szCs w:val="24"/>
          <w:lang w:val="bg"/>
        </w:rPr>
      </w:pPr>
      <w:r w:rsidRPr="003C4AB6">
        <w:rPr>
          <w:sz w:val="24"/>
          <w:szCs w:val="24"/>
        </w:rPr>
        <w:t xml:space="preserve">• </w:t>
      </w:r>
      <w:r w:rsidR="008B5BA0" w:rsidRPr="003C4AB6">
        <w:rPr>
          <w:sz w:val="24"/>
          <w:szCs w:val="24"/>
        </w:rPr>
        <w:t xml:space="preserve">сектора на </w:t>
      </w:r>
      <w:r w:rsidR="008B5BA0" w:rsidRPr="003C4AB6">
        <w:rPr>
          <w:sz w:val="24"/>
          <w:szCs w:val="24"/>
          <w:lang w:val="bg"/>
        </w:rPr>
        <w:t>преработката и търговията със селскостопански продукти, в следните случаи:</w:t>
      </w:r>
    </w:p>
    <w:p w:rsidR="005F0862" w:rsidRPr="003C4AB6" w:rsidRDefault="008B5BA0" w:rsidP="008B5BA0">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lang w:val="bg"/>
        </w:rPr>
        <w:t xml:space="preserve">   - </w:t>
      </w:r>
      <w:r w:rsidR="005F0862" w:rsidRPr="003C4AB6">
        <w:rPr>
          <w:sz w:val="24"/>
          <w:szCs w:val="24"/>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5F0862" w:rsidRPr="003C4AB6" w:rsidRDefault="00717BC7" w:rsidP="005F0862">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 </w:t>
      </w:r>
      <w:r w:rsidR="005F0862" w:rsidRPr="003C4AB6">
        <w:rPr>
          <w:sz w:val="24"/>
          <w:szCs w:val="24"/>
        </w:rPr>
        <w:t>когато помощта е свързана със задължението да бъде прехвърлена частично или изцяло на първичните производители;</w:t>
      </w:r>
    </w:p>
    <w:p w:rsidR="005F0862" w:rsidRPr="003C4AB6" w:rsidRDefault="005F0862"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85461E" w:rsidRPr="003C4AB6" w:rsidRDefault="0085461E" w:rsidP="008546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Когато кандидатът упражнява едновременно дейност в горепосочените сектори</w:t>
      </w:r>
      <w:r w:rsidR="006A2B99" w:rsidRPr="003C4AB6">
        <w:rPr>
          <w:sz w:val="24"/>
          <w:szCs w:val="24"/>
        </w:rPr>
        <w:t xml:space="preserve"> по буква А)</w:t>
      </w:r>
      <w:r w:rsidRPr="003C4AB6">
        <w:rPr>
          <w:sz w:val="24"/>
          <w:szCs w:val="24"/>
        </w:rPr>
        <w:t xml:space="preserve"> и </w:t>
      </w:r>
      <w:r w:rsidR="008954E1" w:rsidRPr="003C4AB6">
        <w:rPr>
          <w:sz w:val="24"/>
          <w:szCs w:val="24"/>
        </w:rPr>
        <w:t>кандидатства за дейности, попадащи в тематични области на ИСИС</w:t>
      </w:r>
      <w:r w:rsidRPr="003C4AB6">
        <w:rPr>
          <w:sz w:val="24"/>
          <w:szCs w:val="24"/>
        </w:rPr>
        <w:t>, безвъзмездната помощ по тази процедура се предоставя само за дейностите</w:t>
      </w:r>
      <w:r w:rsidR="008954E1" w:rsidRPr="003C4AB6">
        <w:rPr>
          <w:sz w:val="24"/>
          <w:szCs w:val="24"/>
        </w:rPr>
        <w:t>, осъществявани в тематичните области на ИСИС</w:t>
      </w:r>
      <w:r w:rsidRPr="003C4AB6">
        <w:rPr>
          <w:sz w:val="24"/>
          <w:szCs w:val="24"/>
        </w:rPr>
        <w:t xml:space="preserve">, като кандидата/бенефициента следва да води отделна счетоводна отчетност, която да гарантира отделяне на дейностите и/или разграничаване на разходите, </w:t>
      </w:r>
      <w:r w:rsidR="002F4D5D" w:rsidRPr="003C4AB6">
        <w:rPr>
          <w:sz w:val="24"/>
          <w:szCs w:val="24"/>
        </w:rPr>
        <w:t xml:space="preserve">така </w:t>
      </w:r>
      <w:r w:rsidRPr="003C4AB6">
        <w:rPr>
          <w:sz w:val="24"/>
          <w:szCs w:val="24"/>
        </w:rPr>
        <w:t xml:space="preserve">че дейностите в </w:t>
      </w:r>
      <w:r w:rsidR="002F4D5D" w:rsidRPr="003C4AB6">
        <w:rPr>
          <w:sz w:val="24"/>
          <w:szCs w:val="24"/>
        </w:rPr>
        <w:t>горепосочените</w:t>
      </w:r>
      <w:r w:rsidRPr="003C4AB6">
        <w:rPr>
          <w:sz w:val="24"/>
          <w:szCs w:val="24"/>
        </w:rPr>
        <w:t xml:space="preserve"> сектори </w:t>
      </w:r>
      <w:r w:rsidR="006A2B99" w:rsidRPr="003C4AB6">
        <w:rPr>
          <w:sz w:val="24"/>
          <w:szCs w:val="24"/>
        </w:rPr>
        <w:t xml:space="preserve">по буква А) </w:t>
      </w:r>
      <w:r w:rsidR="002F4D5D" w:rsidRPr="003C4AB6">
        <w:rPr>
          <w:sz w:val="24"/>
          <w:szCs w:val="24"/>
        </w:rPr>
        <w:t xml:space="preserve">да </w:t>
      </w:r>
      <w:r w:rsidRPr="003C4AB6">
        <w:rPr>
          <w:sz w:val="24"/>
          <w:szCs w:val="24"/>
        </w:rPr>
        <w:t xml:space="preserve">не се ползват от </w:t>
      </w:r>
      <w:r w:rsidR="002F4D5D" w:rsidRPr="003C4AB6">
        <w:rPr>
          <w:sz w:val="24"/>
          <w:szCs w:val="24"/>
        </w:rPr>
        <w:t xml:space="preserve">безвъзмездната </w:t>
      </w:r>
      <w:r w:rsidRPr="003C4AB6">
        <w:rPr>
          <w:sz w:val="24"/>
          <w:szCs w:val="24"/>
        </w:rPr>
        <w:t xml:space="preserve">помощ, предоставена </w:t>
      </w:r>
      <w:r w:rsidR="002F4D5D" w:rsidRPr="003C4AB6">
        <w:rPr>
          <w:sz w:val="24"/>
          <w:szCs w:val="24"/>
        </w:rPr>
        <w:t>по настоящата процедура</w:t>
      </w:r>
      <w:r w:rsidRPr="003C4AB6">
        <w:rPr>
          <w:sz w:val="24"/>
          <w:szCs w:val="24"/>
        </w:rPr>
        <w:t>.</w:t>
      </w:r>
    </w:p>
    <w:p w:rsidR="003D171A" w:rsidRPr="003C4AB6" w:rsidRDefault="003D171A" w:rsidP="008546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02639" w:rsidRPr="003C4AB6" w:rsidRDefault="00802639" w:rsidP="0085461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С оглед горното кандидатът представя</w:t>
      </w:r>
      <w:r w:rsidR="00525085" w:rsidRPr="003C4AB6">
        <w:rPr>
          <w:sz w:val="24"/>
          <w:szCs w:val="24"/>
        </w:rPr>
        <w:t>, като условие за плащане</w:t>
      </w:r>
      <w:r w:rsidRPr="003C4AB6">
        <w:rPr>
          <w:sz w:val="24"/>
          <w:szCs w:val="24"/>
        </w:rPr>
        <w:t xml:space="preserve"> при първото междинно плащане, при промяна или, ако няма междинни плащания, при окончателно плащане </w:t>
      </w:r>
      <w:r w:rsidR="00525085" w:rsidRPr="003C4AB6">
        <w:rPr>
          <w:sz w:val="24"/>
          <w:szCs w:val="24"/>
        </w:rPr>
        <w:t>и</w:t>
      </w:r>
      <w:r w:rsidRPr="003C4AB6">
        <w:rPr>
          <w:sz w:val="24"/>
          <w:szCs w:val="24"/>
        </w:rPr>
        <w:t>ндивидуален сметкоплан утвърден от ръководството на предприятието с включени в него обособените счетоводни сметки /</w:t>
      </w:r>
      <w:proofErr w:type="spellStart"/>
      <w:r w:rsidRPr="003C4AB6">
        <w:rPr>
          <w:sz w:val="24"/>
          <w:szCs w:val="24"/>
        </w:rPr>
        <w:t>подсметки</w:t>
      </w:r>
      <w:proofErr w:type="spellEnd"/>
      <w:r w:rsidRPr="003C4AB6">
        <w:rPr>
          <w:sz w:val="24"/>
          <w:szCs w:val="24"/>
        </w:rPr>
        <w:t>/ специално открити за проекта.</w:t>
      </w:r>
      <w:r w:rsidR="00525085" w:rsidRPr="003C4AB6">
        <w:rPr>
          <w:sz w:val="24"/>
          <w:szCs w:val="24"/>
        </w:rPr>
        <w:t xml:space="preserve"> От </w:t>
      </w:r>
      <w:r w:rsidR="00A56E6D" w:rsidRPr="003C4AB6">
        <w:rPr>
          <w:sz w:val="24"/>
          <w:szCs w:val="24"/>
        </w:rPr>
        <w:t>извлеченията/счетоводните записи по посочените в индивидуалния сметкоплан сметки следва да е видно разграничаването на разходите</w:t>
      </w:r>
      <w:r w:rsidR="00525085" w:rsidRPr="003C4AB6">
        <w:rPr>
          <w:sz w:val="24"/>
          <w:szCs w:val="24"/>
        </w:rPr>
        <w:t>, така че дейностите в горепосочените сектори по буква А) да не се ползват от безвъзмездната помощ по процедурата.</w:t>
      </w:r>
    </w:p>
    <w:p w:rsidR="004138BA" w:rsidRPr="003C4AB6" w:rsidRDefault="00615DEC" w:rsidP="005100FE">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3C4AB6">
        <w:rPr>
          <w:b/>
          <w:sz w:val="24"/>
          <w:szCs w:val="24"/>
        </w:rPr>
        <w:t>Б</w:t>
      </w:r>
      <w:r w:rsidR="004A0C62" w:rsidRPr="003C4AB6">
        <w:rPr>
          <w:b/>
          <w:sz w:val="24"/>
          <w:szCs w:val="24"/>
        </w:rPr>
        <w:t>/</w:t>
      </w:r>
      <w:r w:rsidR="004138BA" w:rsidRPr="003C4AB6">
        <w:rPr>
          <w:b/>
          <w:sz w:val="24"/>
          <w:szCs w:val="24"/>
        </w:rPr>
        <w:t xml:space="preserve"> Финансирането представлява:</w:t>
      </w:r>
    </w:p>
    <w:p w:rsidR="00615DEC" w:rsidRPr="003C4AB6" w:rsidRDefault="00AB6EC3"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w:t>
      </w:r>
      <w:r w:rsidR="00E705F4" w:rsidRPr="003C4AB6">
        <w:rPr>
          <w:sz w:val="24"/>
          <w:szCs w:val="24"/>
        </w:rPr>
        <w:t xml:space="preserve">помощи </w:t>
      </w:r>
      <w:r w:rsidRPr="003C4AB6">
        <w:rPr>
          <w:sz w:val="24"/>
          <w:szCs w:val="24"/>
        </w:rPr>
        <w:t>за</w:t>
      </w:r>
      <w:r w:rsidR="00615DEC" w:rsidRPr="003C4AB6">
        <w:rPr>
          <w:sz w:val="24"/>
          <w:szCs w:val="24"/>
        </w:rPr>
        <w:t xml:space="preserve">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367BA" w:rsidRPr="003C4AB6">
        <w:rPr>
          <w:sz w:val="24"/>
          <w:szCs w:val="24"/>
        </w:rPr>
        <w:t>;</w:t>
      </w:r>
    </w:p>
    <w:p w:rsidR="008367BA" w:rsidRPr="003C4AB6" w:rsidRDefault="00AB6EC3"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w:t>
      </w:r>
      <w:r w:rsidR="00F8444F" w:rsidRPr="003C4AB6">
        <w:rPr>
          <w:sz w:val="24"/>
          <w:szCs w:val="24"/>
        </w:rPr>
        <w:t>помощ,</w:t>
      </w:r>
      <w:r w:rsidRPr="003C4AB6">
        <w:rPr>
          <w:sz w:val="24"/>
          <w:szCs w:val="24"/>
        </w:rPr>
        <w:t xml:space="preserve"> поставена </w:t>
      </w:r>
      <w:r w:rsidR="008367BA" w:rsidRPr="003C4AB6">
        <w:rPr>
          <w:sz w:val="24"/>
          <w:szCs w:val="24"/>
        </w:rPr>
        <w:t>в зависимост от преференциално използване на национални продукти спрямо вносни такива.</w:t>
      </w:r>
    </w:p>
    <w:p w:rsidR="008F68B5" w:rsidRPr="003C4AB6" w:rsidRDefault="008F68B5"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помощ, която ще се използва за придобиването на товарни автомобили за сухопътен транспорт</w:t>
      </w:r>
      <w:r w:rsidR="008367BA" w:rsidRPr="003C4AB6">
        <w:rPr>
          <w:sz w:val="24"/>
          <w:szCs w:val="24"/>
        </w:rPr>
        <w:t>.</w:t>
      </w:r>
    </w:p>
    <w:p w:rsidR="003909B0" w:rsidRPr="003C4AB6" w:rsidRDefault="003909B0" w:rsidP="005100FE">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rsidR="003909B0" w:rsidRPr="003C4AB6" w:rsidRDefault="003909B0" w:rsidP="005100FE">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rsidR="006044F7" w:rsidRPr="003C4AB6" w:rsidRDefault="004A0C62" w:rsidP="006044F7">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3C4AB6">
        <w:rPr>
          <w:b/>
          <w:sz w:val="24"/>
          <w:szCs w:val="24"/>
        </w:rPr>
        <w:t>3/</w:t>
      </w:r>
      <w:r w:rsidR="006072DE" w:rsidRPr="003C4AB6">
        <w:rPr>
          <w:sz w:val="24"/>
          <w:szCs w:val="24"/>
        </w:rPr>
        <w:t xml:space="preserve"> </w:t>
      </w:r>
      <w:r w:rsidR="006044F7" w:rsidRPr="003C4AB6">
        <w:rPr>
          <w:sz w:val="24"/>
          <w:szCs w:val="24"/>
        </w:rPr>
        <w:t xml:space="preserve">С оглед </w:t>
      </w:r>
      <w:r w:rsidR="006044F7" w:rsidRPr="003C4AB6">
        <w:rPr>
          <w:b/>
          <w:sz w:val="24"/>
          <w:szCs w:val="24"/>
        </w:rPr>
        <w:t xml:space="preserve">избягване на припокриването на интервенциите </w:t>
      </w:r>
      <w:r w:rsidR="006044F7" w:rsidRPr="003C4AB6">
        <w:rPr>
          <w:sz w:val="24"/>
          <w:szCs w:val="24"/>
        </w:rPr>
        <w:t xml:space="preserve">между Оперативна програма „Иновации и конкурентоспособност” 2014-2020 и Програмата за развитие на селските райони 2014-2020, подкрепа по настоящата процедура за подбор на проекти </w:t>
      </w:r>
      <w:r w:rsidR="006044F7" w:rsidRPr="003C4AB6">
        <w:rPr>
          <w:b/>
          <w:sz w:val="24"/>
          <w:szCs w:val="24"/>
        </w:rPr>
        <w:t>не могат да получават:</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w:t>
      </w:r>
      <w:proofErr w:type="spellStart"/>
      <w:r w:rsidRPr="003C4AB6">
        <w:rPr>
          <w:sz w:val="24"/>
          <w:szCs w:val="24"/>
        </w:rPr>
        <w:t>микро</w:t>
      </w:r>
      <w:proofErr w:type="spellEnd"/>
      <w:r w:rsidR="002E4EC6" w:rsidRPr="003C4AB6">
        <w:rPr>
          <w:sz w:val="24"/>
          <w:szCs w:val="24"/>
        </w:rPr>
        <w:t xml:space="preserve"> </w:t>
      </w:r>
      <w:r w:rsidRPr="003C4AB6">
        <w:rPr>
          <w:sz w:val="24"/>
          <w:szCs w:val="24"/>
        </w:rPr>
        <w:t xml:space="preserve">предприятия по смисъла на чл. 3-4 от Закона за малките и средните предприятия, които имат седалище или клон със седалище на територията на селски район, съгласно </w:t>
      </w:r>
      <w:r w:rsidRPr="003C4AB6">
        <w:rPr>
          <w:sz w:val="24"/>
          <w:szCs w:val="24"/>
        </w:rPr>
        <w:lastRenderedPageBreak/>
        <w:t>определението</w:t>
      </w:r>
      <w:r w:rsidRPr="003C4AB6">
        <w:rPr>
          <w:sz w:val="24"/>
          <w:szCs w:val="24"/>
          <w:vertAlign w:val="superscript"/>
        </w:rPr>
        <w:footnoteReference w:id="7"/>
      </w:r>
      <w:r w:rsidRPr="003C4AB6">
        <w:rPr>
          <w:sz w:val="24"/>
          <w:szCs w:val="24"/>
        </w:rPr>
        <w:t xml:space="preserve"> в т. 8.1 </w:t>
      </w:r>
      <w:r w:rsidR="00197B91" w:rsidRPr="003C4AB6">
        <w:rPr>
          <w:sz w:val="24"/>
          <w:szCs w:val="24"/>
        </w:rPr>
        <w:t>„</w:t>
      </w:r>
      <w:r w:rsidRPr="003C4AB6">
        <w:rPr>
          <w:sz w:val="24"/>
          <w:szCs w:val="24"/>
        </w:rPr>
        <w:t>Описание на общите условия</w:t>
      </w:r>
      <w:r w:rsidR="00197B91" w:rsidRPr="003C4AB6">
        <w:rPr>
          <w:sz w:val="24"/>
          <w:szCs w:val="24"/>
        </w:rPr>
        <w:t>“</w:t>
      </w:r>
      <w:r w:rsidRPr="003C4AB6">
        <w:rPr>
          <w:sz w:val="24"/>
          <w:szCs w:val="24"/>
        </w:rPr>
        <w:t xml:space="preserve"> от Програмата за развитие на се</w:t>
      </w:r>
      <w:r w:rsidR="00197B91" w:rsidRPr="003C4AB6">
        <w:rPr>
          <w:sz w:val="24"/>
          <w:szCs w:val="24"/>
        </w:rPr>
        <w:t>лските райони за периода 2014-</w:t>
      </w:r>
      <w:r w:rsidRPr="003C4AB6">
        <w:rPr>
          <w:sz w:val="24"/>
          <w:szCs w:val="24"/>
        </w:rPr>
        <w:t xml:space="preserve">2020 г. </w:t>
      </w:r>
      <w:r w:rsidRPr="003C4AB6">
        <w:rPr>
          <w:b/>
          <w:sz w:val="24"/>
          <w:szCs w:val="24"/>
          <w:u w:val="single"/>
        </w:rPr>
        <w:t>и</w:t>
      </w:r>
      <w:r w:rsidRPr="003C4AB6">
        <w:rPr>
          <w:sz w:val="24"/>
          <w:szCs w:val="24"/>
        </w:rPr>
        <w:t xml:space="preserve"> са заявили за подпомагане дейности по проекта, които ще се осъществяват в община на територията на селските райони в Република България. Списък на селските райони е даден в Приложение </w:t>
      </w:r>
      <w:r w:rsidR="00E9753F">
        <w:rPr>
          <w:sz w:val="24"/>
          <w:szCs w:val="24"/>
        </w:rPr>
        <w:t>П</w:t>
      </w:r>
      <w:r w:rsidRPr="003C4AB6">
        <w:rPr>
          <w:sz w:val="24"/>
          <w:szCs w:val="24"/>
        </w:rPr>
        <w:t xml:space="preserve"> към </w:t>
      </w:r>
      <w:r w:rsidR="007B1E28">
        <w:rPr>
          <w:sz w:val="24"/>
          <w:szCs w:val="24"/>
        </w:rPr>
        <w:t>Условия</w:t>
      </w:r>
      <w:r w:rsidRPr="003C4AB6">
        <w:rPr>
          <w:sz w:val="24"/>
          <w:szCs w:val="24"/>
        </w:rPr>
        <w:t>т</w:t>
      </w:r>
      <w:r w:rsidR="00F53AB3">
        <w:rPr>
          <w:sz w:val="24"/>
          <w:szCs w:val="24"/>
        </w:rPr>
        <w:t>а</w:t>
      </w:r>
      <w:r w:rsidRPr="003C4AB6">
        <w:rPr>
          <w:sz w:val="24"/>
          <w:szCs w:val="24"/>
        </w:rPr>
        <w:t xml:space="preserve"> за кандидатстване.</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предприятия, извършващи основната си икономическа дейност или кандидатстващи за финансиране на дейности</w:t>
      </w:r>
      <w:r w:rsidRPr="003C4AB6" w:rsidDel="00E90758">
        <w:rPr>
          <w:sz w:val="24"/>
          <w:szCs w:val="24"/>
        </w:rPr>
        <w:t xml:space="preserve"> </w:t>
      </w:r>
      <w:r w:rsidRPr="003C4AB6">
        <w:rPr>
          <w:sz w:val="24"/>
          <w:szCs w:val="24"/>
        </w:rPr>
        <w:t>за преработка и/или маркетинг на горски продукти.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6044F7" w:rsidRPr="003C4AB6" w:rsidRDefault="00A0105F"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w:t>
      </w:r>
      <w:proofErr w:type="spellStart"/>
      <w:r w:rsidR="006044F7" w:rsidRPr="003C4AB6">
        <w:rPr>
          <w:sz w:val="24"/>
          <w:szCs w:val="24"/>
        </w:rPr>
        <w:t>микро</w:t>
      </w:r>
      <w:proofErr w:type="spellEnd"/>
      <w:r w:rsidR="006044F7" w:rsidRPr="003C4AB6">
        <w:rPr>
          <w:sz w:val="24"/>
          <w:szCs w:val="24"/>
        </w:rPr>
        <w:t xml:space="preserve">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w:t>
      </w:r>
      <w:r w:rsidR="00620AEE" w:rsidRPr="003C4AB6">
        <w:rPr>
          <w:sz w:val="24"/>
          <w:szCs w:val="24"/>
        </w:rPr>
        <w:t xml:space="preserve"> </w:t>
      </w:r>
      <w:r w:rsidR="00745C0D" w:rsidRPr="00745C0D">
        <w:rPr>
          <w:sz w:val="24"/>
          <w:szCs w:val="24"/>
        </w:rPr>
        <w:t xml:space="preserve">за създаване на европейската общност </w:t>
      </w:r>
      <w:r w:rsidR="00620AEE" w:rsidRPr="003C4AB6">
        <w:rPr>
          <w:sz w:val="24"/>
          <w:szCs w:val="24"/>
        </w:rPr>
        <w:t xml:space="preserve">(Приложение </w:t>
      </w:r>
      <w:r w:rsidR="003D7566">
        <w:rPr>
          <w:sz w:val="24"/>
          <w:szCs w:val="24"/>
        </w:rPr>
        <w:t>О</w:t>
      </w:r>
      <w:r w:rsidR="00620AEE" w:rsidRPr="003C4AB6">
        <w:rPr>
          <w:sz w:val="24"/>
          <w:szCs w:val="24"/>
        </w:rPr>
        <w:t>)</w:t>
      </w:r>
      <w:r w:rsidR="006044F7" w:rsidRPr="003C4AB6">
        <w:rPr>
          <w:sz w:val="24"/>
          <w:szCs w:val="24"/>
        </w:rPr>
        <w:t xml:space="preserve">, или с производството на памук, в случай че тези инвестиции се осъществяват на територията на селските райони съгласно определението в т. 8.1 </w:t>
      </w:r>
      <w:r w:rsidR="002E4EC6" w:rsidRPr="003C4AB6">
        <w:rPr>
          <w:sz w:val="24"/>
          <w:szCs w:val="24"/>
        </w:rPr>
        <w:t>„</w:t>
      </w:r>
      <w:r w:rsidR="006044F7" w:rsidRPr="003C4AB6">
        <w:rPr>
          <w:sz w:val="24"/>
          <w:szCs w:val="24"/>
        </w:rPr>
        <w:t>Описание на общите условия</w:t>
      </w:r>
      <w:r w:rsidR="002E4EC6" w:rsidRPr="003C4AB6">
        <w:rPr>
          <w:sz w:val="24"/>
          <w:szCs w:val="24"/>
        </w:rPr>
        <w:t>“</w:t>
      </w:r>
      <w:r w:rsidR="006044F7" w:rsidRPr="003C4AB6">
        <w:rPr>
          <w:sz w:val="24"/>
          <w:szCs w:val="24"/>
        </w:rPr>
        <w:t xml:space="preserve"> от Програмата за развитие на се</w:t>
      </w:r>
      <w:r w:rsidR="002E4EC6" w:rsidRPr="003C4AB6">
        <w:rPr>
          <w:sz w:val="24"/>
          <w:szCs w:val="24"/>
        </w:rPr>
        <w:t>лските райони за периода 2014-</w:t>
      </w:r>
      <w:r w:rsidR="006044F7" w:rsidRPr="003C4AB6">
        <w:rPr>
          <w:sz w:val="24"/>
          <w:szCs w:val="24"/>
        </w:rPr>
        <w:t xml:space="preserve">2020 г. Списък на селските райони е даден в Приложение </w:t>
      </w:r>
      <w:r w:rsidR="00E9753F">
        <w:rPr>
          <w:sz w:val="24"/>
          <w:szCs w:val="24"/>
        </w:rPr>
        <w:t>П</w:t>
      </w:r>
      <w:r w:rsidR="002E4EC6" w:rsidRPr="003C4AB6">
        <w:rPr>
          <w:sz w:val="24"/>
          <w:szCs w:val="24"/>
        </w:rPr>
        <w:t xml:space="preserve"> </w:t>
      </w:r>
      <w:r w:rsidR="006044F7" w:rsidRPr="003C4AB6">
        <w:rPr>
          <w:sz w:val="24"/>
          <w:szCs w:val="24"/>
        </w:rPr>
        <w:t xml:space="preserve">към </w:t>
      </w:r>
      <w:r w:rsidR="007B1E28">
        <w:rPr>
          <w:sz w:val="24"/>
          <w:szCs w:val="24"/>
        </w:rPr>
        <w:t>Условия</w:t>
      </w:r>
      <w:r w:rsidR="006044F7" w:rsidRPr="003C4AB6">
        <w:rPr>
          <w:sz w:val="24"/>
          <w:szCs w:val="24"/>
        </w:rPr>
        <w:t>т</w:t>
      </w:r>
      <w:r w:rsidR="00F53AB3">
        <w:rPr>
          <w:sz w:val="24"/>
          <w:szCs w:val="24"/>
        </w:rPr>
        <w:t>а</w:t>
      </w:r>
      <w:r w:rsidR="006044F7" w:rsidRPr="003C4AB6">
        <w:rPr>
          <w:sz w:val="24"/>
          <w:szCs w:val="24"/>
        </w:rPr>
        <w:t xml:space="preserve"> за кандидатстване.</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w:t>
      </w:r>
      <w:r w:rsidR="00136107" w:rsidRPr="00136107">
        <w:rPr>
          <w:sz w:val="24"/>
          <w:szCs w:val="24"/>
        </w:rPr>
        <w:t xml:space="preserve"> за създаване на европейската общност</w:t>
      </w:r>
      <w:r w:rsidR="00620AEE" w:rsidRPr="003C4AB6">
        <w:rPr>
          <w:sz w:val="24"/>
          <w:szCs w:val="24"/>
        </w:rPr>
        <w:t xml:space="preserve"> (Приложение </w:t>
      </w:r>
      <w:r w:rsidR="003D7566">
        <w:rPr>
          <w:sz w:val="24"/>
          <w:szCs w:val="24"/>
        </w:rPr>
        <w:t>О</w:t>
      </w:r>
      <w:r w:rsidR="00620AEE" w:rsidRPr="003C4AB6">
        <w:rPr>
          <w:sz w:val="24"/>
          <w:szCs w:val="24"/>
        </w:rPr>
        <w:t>)</w:t>
      </w:r>
      <w:r w:rsidRPr="003C4AB6">
        <w:rPr>
          <w:sz w:val="24"/>
          <w:szCs w:val="24"/>
        </w:rPr>
        <w:t xml:space="preserve">,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определението в т. 8.1 </w:t>
      </w:r>
      <w:r w:rsidR="00AC1942" w:rsidRPr="003C4AB6">
        <w:rPr>
          <w:sz w:val="24"/>
          <w:szCs w:val="24"/>
        </w:rPr>
        <w:t>„</w:t>
      </w:r>
      <w:r w:rsidRPr="003C4AB6">
        <w:rPr>
          <w:sz w:val="24"/>
          <w:szCs w:val="24"/>
        </w:rPr>
        <w:t>Описание на общите условия</w:t>
      </w:r>
      <w:r w:rsidR="00AC1942" w:rsidRPr="003C4AB6">
        <w:rPr>
          <w:sz w:val="24"/>
          <w:szCs w:val="24"/>
        </w:rPr>
        <w:t>“</w:t>
      </w:r>
      <w:r w:rsidRPr="003C4AB6">
        <w:rPr>
          <w:sz w:val="24"/>
          <w:szCs w:val="24"/>
        </w:rPr>
        <w:t xml:space="preserve"> от Програмата за развитие на се</w:t>
      </w:r>
      <w:r w:rsidR="00AC1942" w:rsidRPr="003C4AB6">
        <w:rPr>
          <w:sz w:val="24"/>
          <w:szCs w:val="24"/>
        </w:rPr>
        <w:t>лските райони за периода 2014-</w:t>
      </w:r>
      <w:r w:rsidRPr="003C4AB6">
        <w:rPr>
          <w:sz w:val="24"/>
          <w:szCs w:val="24"/>
        </w:rPr>
        <w:t xml:space="preserve">2020 г. Списък на селските райони е даден в Приложение </w:t>
      </w:r>
      <w:r w:rsidR="00E9753F">
        <w:rPr>
          <w:sz w:val="24"/>
          <w:szCs w:val="24"/>
        </w:rPr>
        <w:t>П</w:t>
      </w:r>
      <w:r w:rsidRPr="003C4AB6">
        <w:rPr>
          <w:sz w:val="24"/>
          <w:szCs w:val="24"/>
        </w:rPr>
        <w:t xml:space="preserve"> към </w:t>
      </w:r>
      <w:r w:rsidR="007B1E28">
        <w:rPr>
          <w:sz w:val="24"/>
          <w:szCs w:val="24"/>
        </w:rPr>
        <w:t>Условия</w:t>
      </w:r>
      <w:r w:rsidRPr="003C4AB6">
        <w:rPr>
          <w:sz w:val="24"/>
          <w:szCs w:val="24"/>
        </w:rPr>
        <w:t>т</w:t>
      </w:r>
      <w:r w:rsidR="00F53AB3">
        <w:rPr>
          <w:sz w:val="24"/>
          <w:szCs w:val="24"/>
        </w:rPr>
        <w:t>а</w:t>
      </w:r>
      <w:r w:rsidRPr="003C4AB6">
        <w:rPr>
          <w:sz w:val="24"/>
          <w:szCs w:val="24"/>
        </w:rPr>
        <w:t xml:space="preserve"> за кандидатстване.</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p>
    <w:p w:rsidR="006044F7" w:rsidRPr="003C4AB6" w:rsidRDefault="00A0105F"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п</w:t>
      </w:r>
      <w:r w:rsidR="006044F7" w:rsidRPr="003C4AB6">
        <w:rPr>
          <w:sz w:val="24"/>
          <w:szCs w:val="24"/>
        </w:rPr>
        <w:t xml:space="preserve">о отношение на предприятията, извършващи основната си икономическа дейност или кандидатстващи за финансиране на дейности, които съгласно КИД 2008 </w:t>
      </w:r>
      <w:r w:rsidR="00E844B0" w:rsidRPr="003C4AB6">
        <w:rPr>
          <w:sz w:val="24"/>
          <w:szCs w:val="24"/>
        </w:rPr>
        <w:t xml:space="preserve">(Приложение </w:t>
      </w:r>
      <w:r w:rsidR="00AF189C">
        <w:rPr>
          <w:sz w:val="24"/>
          <w:szCs w:val="24"/>
        </w:rPr>
        <w:t>Р</w:t>
      </w:r>
      <w:r w:rsidR="00E844B0" w:rsidRPr="003C4AB6">
        <w:rPr>
          <w:sz w:val="24"/>
          <w:szCs w:val="24"/>
        </w:rPr>
        <w:t xml:space="preserve">) </w:t>
      </w:r>
      <w:r w:rsidR="006044F7" w:rsidRPr="003C4AB6">
        <w:rPr>
          <w:sz w:val="24"/>
          <w:szCs w:val="24"/>
        </w:rPr>
        <w:t xml:space="preserve">попадат в Сектор С - код на икономическа дейност 10 „Производство на хранителни продукти” и код 11 „Производство на напитки”, подкрепа по настоящата процедура за подбор на проекти </w:t>
      </w:r>
      <w:r w:rsidR="006044F7" w:rsidRPr="003C4AB6">
        <w:rPr>
          <w:b/>
          <w:sz w:val="24"/>
          <w:szCs w:val="24"/>
        </w:rPr>
        <w:t>не могат да получават</w:t>
      </w:r>
      <w:r w:rsidR="006044F7" w:rsidRPr="003C4AB6">
        <w:rPr>
          <w:sz w:val="24"/>
          <w:szCs w:val="24"/>
        </w:rPr>
        <w:t xml:space="preserve"> предприятия със следните кодове: </w:t>
      </w:r>
    </w:p>
    <w:p w:rsidR="00A0105F" w:rsidRPr="003C4AB6" w:rsidRDefault="00A0105F"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6044F7"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- 10.1 „Производство и преработка на месо; производство на месни продукти, без готови ястия”;</w:t>
      </w:r>
    </w:p>
    <w:p w:rsidR="00EA0B37" w:rsidRPr="00EA0B37" w:rsidRDefault="00EA0B37" w:rsidP="00EA0B3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EA0B37">
        <w:rPr>
          <w:rFonts w:ascii="Calibri" w:eastAsia="Calibri" w:hAnsi="Calibri" w:cs="Times New Roman"/>
          <w:sz w:val="24"/>
          <w:szCs w:val="24"/>
        </w:rPr>
        <w:t>- 10.2. „Преработка и консервиране на риба и други водни животни, без готови ястия”;</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- 10.3 „Преработка и консервиране на плодове и зеленчуци, без готови ястия”;</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- 10.4. „Производство на растителни и животински масла и мазнини”;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- 10.5. „Производство на мляко и млечни продукти”;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- 10.6. „Производство на мелничарски продукти, нишесте и нишестени продукти”;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- 10.81. „Производство на захар”;</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lastRenderedPageBreak/>
        <w:t>- 10.83. „Преработка на кафе и чай”;</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xml:space="preserve">- 10.84. Производство на хранителни подправки и </w:t>
      </w:r>
      <w:proofErr w:type="spellStart"/>
      <w:r w:rsidRPr="003C4AB6">
        <w:rPr>
          <w:sz w:val="24"/>
          <w:szCs w:val="24"/>
        </w:rPr>
        <w:t>овкусители</w:t>
      </w:r>
      <w:proofErr w:type="spellEnd"/>
      <w:r w:rsidRPr="003C4AB6">
        <w:rPr>
          <w:sz w:val="24"/>
          <w:szCs w:val="24"/>
        </w:rPr>
        <w:t>;</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- 10.91. „Производство на готови храни за животни”;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- 11.02. „Производство на вина от грозде”;</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- 11.03. „Производство на други ферментирали напитки”;</w:t>
      </w:r>
    </w:p>
    <w:p w:rsidR="006044F7" w:rsidRPr="003C4AB6" w:rsidRDefault="006044F7"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lang w:val="en-US"/>
        </w:rPr>
      </w:pPr>
      <w:r w:rsidRPr="003C4AB6">
        <w:rPr>
          <w:sz w:val="24"/>
          <w:szCs w:val="24"/>
        </w:rPr>
        <w:t xml:space="preserve">- 11.06. „Производство на </w:t>
      </w:r>
      <w:proofErr w:type="spellStart"/>
      <w:r w:rsidRPr="003C4AB6">
        <w:rPr>
          <w:sz w:val="24"/>
          <w:szCs w:val="24"/>
        </w:rPr>
        <w:t>малц</w:t>
      </w:r>
      <w:proofErr w:type="spellEnd"/>
      <w:r w:rsidRPr="003C4AB6">
        <w:rPr>
          <w:sz w:val="24"/>
          <w:szCs w:val="24"/>
          <w:lang w:val="en-US"/>
        </w:rPr>
        <w:t>”</w:t>
      </w:r>
      <w:r w:rsidRPr="003C4AB6">
        <w:rPr>
          <w:sz w:val="24"/>
          <w:szCs w:val="24"/>
        </w:rPr>
        <w:t>.</w:t>
      </w:r>
    </w:p>
    <w:p w:rsidR="00E836D5" w:rsidRPr="003C4AB6" w:rsidRDefault="00E836D5" w:rsidP="006044F7">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E836D5" w:rsidRPr="003C4AB6" w:rsidRDefault="00E836D5" w:rsidP="00E836D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За да удостоверят, че не осъществяват основната си икономическа дейност в горепосочените недопустими сектори, кандидатите</w:t>
      </w:r>
      <w:r w:rsidR="003F0FDB">
        <w:rPr>
          <w:sz w:val="24"/>
          <w:szCs w:val="24"/>
        </w:rPr>
        <w:t>,</w:t>
      </w:r>
      <w:r w:rsidRPr="003C4AB6">
        <w:rPr>
          <w:sz w:val="24"/>
          <w:szCs w:val="24"/>
        </w:rPr>
        <w:t xml:space="preserve"> </w:t>
      </w:r>
      <w:r w:rsidR="003F0FDB" w:rsidRPr="00446D1E">
        <w:rPr>
          <w:sz w:val="24"/>
          <w:szCs w:val="24"/>
        </w:rPr>
        <w:t>които имат приключена финансова</w:t>
      </w:r>
      <w:r w:rsidR="004C0568">
        <w:rPr>
          <w:sz w:val="24"/>
          <w:szCs w:val="24"/>
        </w:rPr>
        <w:t xml:space="preserve"> 2015</w:t>
      </w:r>
      <w:r w:rsidR="003F0FDB" w:rsidRPr="00446D1E">
        <w:rPr>
          <w:sz w:val="24"/>
          <w:szCs w:val="24"/>
        </w:rPr>
        <w:t xml:space="preserve"> годин</w:t>
      </w:r>
      <w:r w:rsidR="009F1E7F">
        <w:rPr>
          <w:sz w:val="24"/>
          <w:szCs w:val="24"/>
        </w:rPr>
        <w:t>а</w:t>
      </w:r>
      <w:r w:rsidR="004C0568">
        <w:rPr>
          <w:sz w:val="24"/>
          <w:szCs w:val="24"/>
        </w:rPr>
        <w:t xml:space="preserve"> и </w:t>
      </w:r>
      <w:r w:rsidR="009F1E7F">
        <w:rPr>
          <w:sz w:val="24"/>
          <w:szCs w:val="24"/>
        </w:rPr>
        <w:t>са осъществявали дейност</w:t>
      </w:r>
      <w:r w:rsidR="004C0568">
        <w:rPr>
          <w:sz w:val="24"/>
          <w:szCs w:val="24"/>
        </w:rPr>
        <w:t xml:space="preserve"> през тази година</w:t>
      </w:r>
      <w:r w:rsidR="003F0FDB">
        <w:rPr>
          <w:sz w:val="24"/>
          <w:szCs w:val="24"/>
        </w:rPr>
        <w:t>,</w:t>
      </w:r>
      <w:r w:rsidR="003F0FDB" w:rsidRPr="003C4AB6">
        <w:rPr>
          <w:sz w:val="24"/>
          <w:szCs w:val="24"/>
        </w:rPr>
        <w:t xml:space="preserve"> </w:t>
      </w:r>
      <w:r w:rsidRPr="003C4AB6">
        <w:rPr>
          <w:sz w:val="24"/>
          <w:szCs w:val="24"/>
        </w:rPr>
        <w:t>следва да представят към проектните предложения актуално Удостоверение за код на основната икономическа дейност, издадено от Националния статистически</w:t>
      </w:r>
      <w:r w:rsidR="00433C8E" w:rsidRPr="003C4AB6">
        <w:rPr>
          <w:sz w:val="24"/>
          <w:szCs w:val="24"/>
        </w:rPr>
        <w:t xml:space="preserve"> институт </w:t>
      </w:r>
      <w:r w:rsidRPr="003C4AB6">
        <w:rPr>
          <w:sz w:val="24"/>
          <w:szCs w:val="24"/>
        </w:rPr>
        <w:t>въ</w:t>
      </w:r>
      <w:r w:rsidR="00433C8E" w:rsidRPr="003C4AB6">
        <w:rPr>
          <w:sz w:val="24"/>
          <w:szCs w:val="24"/>
        </w:rPr>
        <w:t xml:space="preserve">з основа на данни за </w:t>
      </w:r>
      <w:r w:rsidR="00433C8E" w:rsidRPr="004C0F71">
        <w:rPr>
          <w:sz w:val="24"/>
          <w:szCs w:val="24"/>
        </w:rPr>
        <w:t>201</w:t>
      </w:r>
      <w:r w:rsidR="00446D1E" w:rsidRPr="004C0F71">
        <w:rPr>
          <w:sz w:val="24"/>
          <w:szCs w:val="24"/>
        </w:rPr>
        <w:t>5</w:t>
      </w:r>
      <w:r w:rsidR="00433C8E" w:rsidRPr="004C0F71">
        <w:rPr>
          <w:sz w:val="24"/>
          <w:szCs w:val="24"/>
        </w:rPr>
        <w:t xml:space="preserve"> г.</w:t>
      </w:r>
      <w:r w:rsidR="00933085" w:rsidRPr="003C4AB6">
        <w:rPr>
          <w:sz w:val="24"/>
          <w:szCs w:val="24"/>
        </w:rPr>
        <w:t xml:space="preserve"> </w:t>
      </w:r>
      <w:r w:rsidR="00312301">
        <w:rPr>
          <w:sz w:val="24"/>
          <w:szCs w:val="24"/>
        </w:rPr>
        <w:t xml:space="preserve">По отношение на кандидати, които нямат приключена </w:t>
      </w:r>
      <w:r w:rsidR="004C0568">
        <w:rPr>
          <w:sz w:val="24"/>
          <w:szCs w:val="24"/>
        </w:rPr>
        <w:t xml:space="preserve"> </w:t>
      </w:r>
      <w:r w:rsidR="00312301">
        <w:rPr>
          <w:sz w:val="24"/>
          <w:szCs w:val="24"/>
        </w:rPr>
        <w:t xml:space="preserve">финансова </w:t>
      </w:r>
      <w:r w:rsidR="004C0568">
        <w:rPr>
          <w:sz w:val="24"/>
          <w:szCs w:val="24"/>
        </w:rPr>
        <w:t xml:space="preserve">2015 </w:t>
      </w:r>
      <w:r w:rsidR="00312301">
        <w:rPr>
          <w:sz w:val="24"/>
          <w:szCs w:val="24"/>
        </w:rPr>
        <w:t>година</w:t>
      </w:r>
      <w:r w:rsidR="004F0BFA">
        <w:rPr>
          <w:sz w:val="24"/>
          <w:szCs w:val="24"/>
        </w:rPr>
        <w:t xml:space="preserve"> или не са осъществявали дейност през </w:t>
      </w:r>
      <w:r w:rsidR="004C0568">
        <w:rPr>
          <w:sz w:val="24"/>
          <w:szCs w:val="24"/>
        </w:rPr>
        <w:t>тази годин</w:t>
      </w:r>
      <w:r w:rsidR="00676F6A">
        <w:rPr>
          <w:sz w:val="24"/>
          <w:szCs w:val="24"/>
        </w:rPr>
        <w:t>а</w:t>
      </w:r>
      <w:r w:rsidR="00312301">
        <w:rPr>
          <w:sz w:val="24"/>
          <w:szCs w:val="24"/>
        </w:rPr>
        <w:t xml:space="preserve">, съответствието с изискването </w:t>
      </w:r>
      <w:r w:rsidR="005B5F13">
        <w:rPr>
          <w:sz w:val="24"/>
          <w:szCs w:val="24"/>
        </w:rPr>
        <w:t xml:space="preserve">ще бъде извършено съобразно </w:t>
      </w:r>
      <w:r w:rsidR="005B5F13" w:rsidRPr="005B5F13">
        <w:rPr>
          <w:sz w:val="24"/>
          <w:szCs w:val="24"/>
        </w:rPr>
        <w:t>код</w:t>
      </w:r>
      <w:r w:rsidR="005B5F13">
        <w:rPr>
          <w:sz w:val="24"/>
          <w:szCs w:val="24"/>
        </w:rPr>
        <w:t>а на основна</w:t>
      </w:r>
      <w:r w:rsidR="005B5F13" w:rsidRPr="005B5F13">
        <w:rPr>
          <w:sz w:val="24"/>
          <w:szCs w:val="24"/>
        </w:rPr>
        <w:t xml:space="preserve"> дейност</w:t>
      </w:r>
      <w:r w:rsidR="005B5F13">
        <w:rPr>
          <w:sz w:val="24"/>
          <w:szCs w:val="24"/>
        </w:rPr>
        <w:t>, вписан в Търговския регистър.</w:t>
      </w:r>
    </w:p>
    <w:p w:rsidR="002325A3" w:rsidRPr="003C4AB6" w:rsidRDefault="002325A3" w:rsidP="00AC1942">
      <w:pPr>
        <w:pStyle w:val="ListParagraph"/>
        <w:spacing w:after="0" w:line="240" w:lineRule="auto"/>
        <w:ind w:left="0"/>
        <w:jc w:val="both"/>
        <w:rPr>
          <w:b/>
          <w:sz w:val="24"/>
          <w:szCs w:val="24"/>
        </w:rPr>
      </w:pPr>
      <w:r w:rsidRPr="003C4AB6">
        <w:rPr>
          <w:b/>
          <w:sz w:val="24"/>
          <w:szCs w:val="24"/>
        </w:rPr>
        <w:t xml:space="preserve">   </w:t>
      </w:r>
    </w:p>
    <w:p w:rsidR="002325A3" w:rsidRPr="003C4AB6" w:rsidRDefault="00CB14EE" w:rsidP="00DC14A3">
      <w:pPr>
        <w:pStyle w:val="Heading2"/>
        <w:spacing w:before="0" w:after="120"/>
      </w:pPr>
      <w:bookmarkStart w:id="14" w:name="_Toc442298717"/>
      <w:r w:rsidRPr="003C4AB6">
        <w:t>1</w:t>
      </w:r>
      <w:r w:rsidR="004A58E5" w:rsidRPr="003C4AB6">
        <w:t>2</w:t>
      </w:r>
      <w:r w:rsidR="002325A3" w:rsidRPr="003C4AB6">
        <w:t>. Допустими партньори:</w:t>
      </w:r>
      <w:bookmarkEnd w:id="14"/>
    </w:p>
    <w:p w:rsidR="005B24FF" w:rsidRPr="003C4AB6" w:rsidRDefault="00C76CE0"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hAnsi="Verdana"/>
          <w:b/>
        </w:rPr>
      </w:pPr>
      <w:r w:rsidRPr="003C4AB6">
        <w:rPr>
          <w:sz w:val="24"/>
          <w:szCs w:val="24"/>
        </w:rPr>
        <w:t>По настоящата процедура за подбор на проекти кандидатите участват индивидуално, а не съвместно с партньорски или други организации.</w:t>
      </w:r>
    </w:p>
    <w:p w:rsidR="002325A3" w:rsidRPr="003C4AB6" w:rsidRDefault="002325A3" w:rsidP="002325A3">
      <w:pPr>
        <w:pStyle w:val="ListParagraph"/>
        <w:spacing w:after="360" w:line="240" w:lineRule="auto"/>
        <w:ind w:left="0"/>
        <w:jc w:val="both"/>
        <w:rPr>
          <w:rFonts w:ascii="Verdana" w:hAnsi="Verdana"/>
          <w:b/>
        </w:rPr>
      </w:pPr>
      <w:r w:rsidRPr="003C4AB6">
        <w:rPr>
          <w:rFonts w:ascii="Verdana" w:hAnsi="Verdana"/>
          <w:b/>
        </w:rPr>
        <w:t xml:space="preserve">   </w:t>
      </w:r>
    </w:p>
    <w:p w:rsidR="002325A3" w:rsidRPr="003C4AB6" w:rsidRDefault="00CB14EE" w:rsidP="00DC14A3">
      <w:pPr>
        <w:pStyle w:val="Heading2"/>
        <w:spacing w:before="0" w:after="120"/>
      </w:pPr>
      <w:bookmarkStart w:id="15" w:name="_Toc442298718"/>
      <w:r w:rsidRPr="003C4AB6">
        <w:t>1</w:t>
      </w:r>
      <w:r w:rsidR="004A58E5" w:rsidRPr="003C4AB6">
        <w:t>3</w:t>
      </w:r>
      <w:r w:rsidR="002325A3" w:rsidRPr="003C4AB6">
        <w:t xml:space="preserve">. </w:t>
      </w:r>
      <w:r w:rsidR="004E6370" w:rsidRPr="003C4AB6">
        <w:t>Д</w:t>
      </w:r>
      <w:r w:rsidR="002325A3" w:rsidRPr="003C4AB6">
        <w:t>ейности, допустими за финансиране:</w:t>
      </w:r>
      <w:bookmarkEnd w:id="15"/>
    </w:p>
    <w:p w:rsidR="00EE49C8" w:rsidRPr="003C4AB6" w:rsidRDefault="00EE49C8" w:rsidP="00DC14A3">
      <w:pPr>
        <w:pStyle w:val="Heading3"/>
        <w:spacing w:before="0" w:after="120"/>
        <w:rPr>
          <w:sz w:val="24"/>
          <w:szCs w:val="24"/>
        </w:rPr>
      </w:pPr>
      <w:bookmarkStart w:id="16" w:name="_Toc442298719"/>
      <w:r w:rsidRPr="003C4AB6">
        <w:rPr>
          <w:sz w:val="24"/>
          <w:szCs w:val="24"/>
        </w:rPr>
        <w:t>13.1. Допустими дейности</w:t>
      </w:r>
      <w:bookmarkEnd w:id="16"/>
    </w:p>
    <w:p w:rsidR="00AC4EEA" w:rsidRPr="003C4AB6" w:rsidRDefault="004D7C1E" w:rsidP="00DC14A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Проектните предложения по настоящата процедура следва да съответстват на принципа на </w:t>
      </w:r>
      <w:r w:rsidR="00AF2C6B" w:rsidRPr="003C4AB6">
        <w:rPr>
          <w:sz w:val="24"/>
          <w:szCs w:val="24"/>
        </w:rPr>
        <w:t xml:space="preserve">ефективност и ефикасност, като допустимите дейности следва да съответстват на </w:t>
      </w:r>
      <w:r w:rsidR="00AC4EEA" w:rsidRPr="003C4AB6">
        <w:rPr>
          <w:sz w:val="24"/>
          <w:szCs w:val="24"/>
        </w:rPr>
        <w:t xml:space="preserve">целите на </w:t>
      </w:r>
      <w:r w:rsidR="005458EC">
        <w:rPr>
          <w:sz w:val="24"/>
          <w:szCs w:val="24"/>
        </w:rPr>
        <w:t>О</w:t>
      </w:r>
      <w:r w:rsidR="00AC4EEA" w:rsidRPr="003C4AB6">
        <w:rPr>
          <w:sz w:val="24"/>
          <w:szCs w:val="24"/>
        </w:rPr>
        <w:t xml:space="preserve">перативната програма и </w:t>
      </w:r>
      <w:r w:rsidR="00AF2C6B" w:rsidRPr="003C4AB6">
        <w:rPr>
          <w:sz w:val="24"/>
          <w:szCs w:val="24"/>
        </w:rPr>
        <w:t>да водят до постигане</w:t>
      </w:r>
      <w:r w:rsidR="00AC4EEA" w:rsidRPr="003C4AB6">
        <w:rPr>
          <w:sz w:val="24"/>
          <w:szCs w:val="24"/>
        </w:rPr>
        <w:t xml:space="preserve"> на специфичната цел и резулт</w:t>
      </w:r>
      <w:r w:rsidR="00BE603D" w:rsidRPr="003C4AB6">
        <w:rPr>
          <w:sz w:val="24"/>
          <w:szCs w:val="24"/>
        </w:rPr>
        <w:t>ати на Инвестиционен приоритет 1.1 „Технологично развитие и иновации</w:t>
      </w:r>
      <w:r w:rsidR="00F92055" w:rsidRPr="003C4AB6">
        <w:rPr>
          <w:sz w:val="24"/>
          <w:szCs w:val="24"/>
        </w:rPr>
        <w:t>“</w:t>
      </w:r>
      <w:r w:rsidR="00BE603D" w:rsidRPr="003C4AB6">
        <w:rPr>
          <w:sz w:val="24"/>
          <w:szCs w:val="24"/>
        </w:rPr>
        <w:t xml:space="preserve"> от Приоритетна ос 1</w:t>
      </w:r>
      <w:r w:rsidR="00AC4EEA" w:rsidRPr="003C4AB6">
        <w:rPr>
          <w:sz w:val="24"/>
          <w:szCs w:val="24"/>
        </w:rPr>
        <w:t xml:space="preserve"> на ОПИК, при най-адекватното съотношение м</w:t>
      </w:r>
      <w:r w:rsidR="00AF2C6B" w:rsidRPr="003C4AB6">
        <w:rPr>
          <w:sz w:val="24"/>
          <w:szCs w:val="24"/>
        </w:rPr>
        <w:t>ежду очакваните разходи и ползи.</w:t>
      </w:r>
    </w:p>
    <w:p w:rsidR="00261CEE" w:rsidRPr="003C4AB6" w:rsidRDefault="00261CEE" w:rsidP="00DC14A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4966C6" w:rsidRPr="003C4AB6" w:rsidRDefault="003F3C1B" w:rsidP="00643432">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b/>
          <w:sz w:val="24"/>
          <w:szCs w:val="24"/>
        </w:rPr>
      </w:pPr>
      <w:r w:rsidRPr="003C4AB6">
        <w:rPr>
          <w:b/>
          <w:sz w:val="24"/>
          <w:szCs w:val="24"/>
          <w:lang w:val="en-US"/>
        </w:rPr>
        <w:t xml:space="preserve">I. </w:t>
      </w:r>
      <w:r w:rsidR="00261CEE" w:rsidRPr="003C4AB6">
        <w:rPr>
          <w:b/>
          <w:sz w:val="24"/>
          <w:szCs w:val="24"/>
        </w:rPr>
        <w:t>Допустими проекти:</w:t>
      </w:r>
    </w:p>
    <w:p w:rsidR="006D3B98" w:rsidRPr="003C4AB6" w:rsidRDefault="002F1FD6" w:rsidP="006D3B98">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b/>
          <w:sz w:val="24"/>
          <w:szCs w:val="24"/>
        </w:rPr>
        <w:t>1)</w:t>
      </w:r>
      <w:r w:rsidRPr="003C4AB6">
        <w:rPr>
          <w:sz w:val="24"/>
          <w:szCs w:val="24"/>
        </w:rPr>
        <w:t xml:space="preserve"> </w:t>
      </w:r>
      <w:r w:rsidR="00D920C6" w:rsidRPr="003C4AB6">
        <w:rPr>
          <w:sz w:val="24"/>
          <w:szCs w:val="24"/>
        </w:rPr>
        <w:t xml:space="preserve">Изпълнението на проектите следва да води до разработване на </w:t>
      </w:r>
      <w:r w:rsidR="007B1BB2" w:rsidRPr="003C4AB6">
        <w:rPr>
          <w:sz w:val="24"/>
          <w:szCs w:val="24"/>
        </w:rPr>
        <w:t xml:space="preserve">иновационен </w:t>
      </w:r>
      <w:r w:rsidR="00D920C6" w:rsidRPr="003C4AB6">
        <w:rPr>
          <w:sz w:val="24"/>
          <w:szCs w:val="24"/>
        </w:rPr>
        <w:t xml:space="preserve">продукт (стока или услуга) или </w:t>
      </w:r>
      <w:r w:rsidR="007B1BB2" w:rsidRPr="003C4AB6">
        <w:rPr>
          <w:sz w:val="24"/>
          <w:szCs w:val="24"/>
        </w:rPr>
        <w:t xml:space="preserve">иновационен </w:t>
      </w:r>
      <w:r w:rsidR="00D920C6" w:rsidRPr="003C4AB6">
        <w:rPr>
          <w:sz w:val="24"/>
          <w:szCs w:val="24"/>
        </w:rPr>
        <w:t>процес, попадащи  в обхвата на изброените по-долу приоритетни направления на тематичните области на  Иновационната стратегия за интелигента специализация:</w:t>
      </w:r>
    </w:p>
    <w:p w:rsidR="0003305B" w:rsidRPr="003C4AB6" w:rsidRDefault="006D3B98" w:rsidP="006D3B98">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sz w:val="24"/>
          <w:szCs w:val="24"/>
        </w:rPr>
        <w:t xml:space="preserve">•    </w:t>
      </w:r>
      <w:r w:rsidR="0003305B" w:rsidRPr="003C4AB6">
        <w:rPr>
          <w:b/>
          <w:sz w:val="24"/>
          <w:szCs w:val="24"/>
        </w:rPr>
        <w:t>ИКТ и информатика</w:t>
      </w:r>
      <w:r w:rsidR="0003305B" w:rsidRPr="003C4AB6">
        <w:rPr>
          <w:b/>
          <w:sz w:val="24"/>
          <w:szCs w:val="24"/>
          <w:lang w:val="en-US"/>
        </w:rPr>
        <w:t>:</w:t>
      </w:r>
      <w:r w:rsidR="0003305B" w:rsidRPr="003C4AB6">
        <w:rPr>
          <w:b/>
          <w:sz w:val="24"/>
          <w:szCs w:val="24"/>
        </w:rPr>
        <w:t xml:space="preserve"> </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производства, особено </w:t>
      </w:r>
      <w:proofErr w:type="spellStart"/>
      <w:r w:rsidRPr="003C4AB6">
        <w:rPr>
          <w:sz w:val="24"/>
          <w:szCs w:val="24"/>
        </w:rPr>
        <w:t>Fabless</w:t>
      </w:r>
      <w:proofErr w:type="spellEnd"/>
      <w:r w:rsidRPr="003C4AB6">
        <w:rPr>
          <w:sz w:val="24"/>
          <w:szCs w:val="24"/>
        </w:rPr>
        <w:t xml:space="preserve"> и нови подходи за дизайн и/или асемблиране;</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w:t>
      </w:r>
      <w:proofErr w:type="spellStart"/>
      <w:r w:rsidRPr="003C4AB6">
        <w:rPr>
          <w:sz w:val="24"/>
          <w:szCs w:val="24"/>
        </w:rPr>
        <w:t>инбедид</w:t>
      </w:r>
      <w:proofErr w:type="spellEnd"/>
      <w:r w:rsidRPr="003C4AB6">
        <w:rPr>
          <w:sz w:val="24"/>
          <w:szCs w:val="24"/>
        </w:rPr>
        <w:t>“ софтуер;</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lastRenderedPageBreak/>
        <w:t xml:space="preserve">3D дигитализация, визуализация и </w:t>
      </w:r>
      <w:proofErr w:type="spellStart"/>
      <w:r w:rsidRPr="003C4AB6">
        <w:rPr>
          <w:sz w:val="24"/>
          <w:szCs w:val="24"/>
        </w:rPr>
        <w:t>прототипиране</w:t>
      </w:r>
      <w:proofErr w:type="spellEnd"/>
      <w:r w:rsidRPr="003C4AB6">
        <w:rPr>
          <w:sz w:val="24"/>
          <w:szCs w:val="24"/>
        </w:rPr>
        <w:t>;</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Big Data, </w:t>
      </w:r>
      <w:proofErr w:type="spellStart"/>
      <w:r w:rsidRPr="003C4AB6">
        <w:rPr>
          <w:sz w:val="24"/>
          <w:szCs w:val="24"/>
        </w:rPr>
        <w:t>Grid</w:t>
      </w:r>
      <w:proofErr w:type="spellEnd"/>
      <w:r w:rsidRPr="003C4AB6">
        <w:rPr>
          <w:sz w:val="24"/>
          <w:szCs w:val="24"/>
        </w:rPr>
        <w:t xml:space="preserve"> </w:t>
      </w:r>
      <w:proofErr w:type="spellStart"/>
      <w:r w:rsidRPr="003C4AB6">
        <w:rPr>
          <w:sz w:val="24"/>
          <w:szCs w:val="24"/>
        </w:rPr>
        <w:t>and</w:t>
      </w:r>
      <w:proofErr w:type="spellEnd"/>
      <w:r w:rsidRPr="003C4AB6">
        <w:rPr>
          <w:sz w:val="24"/>
          <w:szCs w:val="24"/>
        </w:rPr>
        <w:t xml:space="preserve"> </w:t>
      </w:r>
      <w:proofErr w:type="spellStart"/>
      <w:r w:rsidRPr="003C4AB6">
        <w:rPr>
          <w:sz w:val="24"/>
          <w:szCs w:val="24"/>
        </w:rPr>
        <w:t>Cloud</w:t>
      </w:r>
      <w:proofErr w:type="spellEnd"/>
      <w:r w:rsidRPr="003C4AB6">
        <w:rPr>
          <w:sz w:val="24"/>
          <w:szCs w:val="24"/>
        </w:rPr>
        <w:t xml:space="preserve"> Technologies;</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безжични сензорни мрежи и безжична комуникация/управление;</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езикови технологии;</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уеб, хибридни и "</w:t>
      </w:r>
      <w:proofErr w:type="spellStart"/>
      <w:r w:rsidRPr="003C4AB6">
        <w:rPr>
          <w:sz w:val="24"/>
          <w:szCs w:val="24"/>
        </w:rPr>
        <w:t>native</w:t>
      </w:r>
      <w:proofErr w:type="spellEnd"/>
      <w:r w:rsidRPr="003C4AB6">
        <w:rPr>
          <w:sz w:val="24"/>
          <w:szCs w:val="24"/>
        </w:rPr>
        <w:t>" приложения, уеб базирани приложения за създаване и експлоатиране на нови услуги и продукти;</w:t>
      </w:r>
    </w:p>
    <w:p w:rsidR="00496382" w:rsidRPr="003C4AB6" w:rsidRDefault="00496382"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използване на нови възможности във връзка с </w:t>
      </w:r>
      <w:proofErr w:type="spellStart"/>
      <w:r w:rsidRPr="003C4AB6">
        <w:rPr>
          <w:sz w:val="24"/>
          <w:szCs w:val="24"/>
        </w:rPr>
        <w:t>аутсорсинг</w:t>
      </w:r>
      <w:proofErr w:type="spellEnd"/>
      <w:r w:rsidRPr="003C4AB6">
        <w:rPr>
          <w:sz w:val="24"/>
          <w:szCs w:val="24"/>
        </w:rPr>
        <w:t xml:space="preserve"> и ИКТ-базирани услуги и системи</w:t>
      </w:r>
      <w:r w:rsidRPr="003C4AB6">
        <w:rPr>
          <w:sz w:val="24"/>
          <w:szCs w:val="24"/>
          <w:lang w:val="en-US"/>
        </w:rPr>
        <w:t>.</w:t>
      </w:r>
    </w:p>
    <w:p w:rsidR="004773FF" w:rsidRPr="003C4AB6" w:rsidRDefault="00DB3157" w:rsidP="00DB3157">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sz w:val="24"/>
          <w:szCs w:val="24"/>
        </w:rPr>
        <w:t xml:space="preserve">•    </w:t>
      </w:r>
      <w:proofErr w:type="spellStart"/>
      <w:r w:rsidR="004773FF" w:rsidRPr="003C4AB6">
        <w:rPr>
          <w:b/>
          <w:sz w:val="24"/>
          <w:szCs w:val="24"/>
        </w:rPr>
        <w:t>мехатроника</w:t>
      </w:r>
      <w:proofErr w:type="spellEnd"/>
      <w:r w:rsidR="004773FF" w:rsidRPr="003C4AB6">
        <w:rPr>
          <w:b/>
          <w:sz w:val="24"/>
          <w:szCs w:val="24"/>
        </w:rPr>
        <w:t xml:space="preserve"> и чисти технологии:</w:t>
      </w:r>
      <w:r w:rsidR="004773FF" w:rsidRPr="003C4AB6">
        <w:rPr>
          <w:sz w:val="24"/>
          <w:szCs w:val="24"/>
        </w:rPr>
        <w:t xml:space="preserve"> </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производство на базови елементи, детайли, възли и оборудване, вграждани като част от </w:t>
      </w:r>
      <w:proofErr w:type="spellStart"/>
      <w:r w:rsidRPr="003C4AB6">
        <w:rPr>
          <w:sz w:val="24"/>
          <w:szCs w:val="24"/>
        </w:rPr>
        <w:t>мехатронен</w:t>
      </w:r>
      <w:proofErr w:type="spellEnd"/>
      <w:r w:rsidRPr="003C4AB6">
        <w:rPr>
          <w:sz w:val="24"/>
          <w:szCs w:val="24"/>
        </w:rPr>
        <w:t xml:space="preserve"> агрегат или самостоятелно съставляващи такъв агрегат</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машиностроене и </w:t>
      </w:r>
      <w:proofErr w:type="spellStart"/>
      <w:r w:rsidRPr="003C4AB6">
        <w:rPr>
          <w:sz w:val="24"/>
          <w:szCs w:val="24"/>
        </w:rPr>
        <w:t>уредостроене</w:t>
      </w:r>
      <w:proofErr w:type="spellEnd"/>
      <w:r w:rsidRPr="003C4AB6">
        <w:rPr>
          <w:sz w:val="24"/>
          <w:szCs w:val="24"/>
        </w:rPr>
        <w:t>, вкл. части, компоненти и системи, с акцент върху транспорта и енергетиката</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инженеринг, </w:t>
      </w:r>
      <w:proofErr w:type="spellStart"/>
      <w:r w:rsidRPr="003C4AB6">
        <w:rPr>
          <w:sz w:val="24"/>
          <w:szCs w:val="24"/>
        </w:rPr>
        <w:t>реинженеринг</w:t>
      </w:r>
      <w:proofErr w:type="spellEnd"/>
      <w:r w:rsidRPr="003C4AB6">
        <w:rPr>
          <w:sz w:val="24"/>
          <w:szCs w:val="24"/>
        </w:rPr>
        <w:t xml:space="preserve"> и продължаване на жизнения цикъл на индустриални машини, уреди и системи</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системи за автоматизирано и софтуерно подпомагано управление с приложение в производството;</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вграждане на ВЕИ в роботизирани системи с изкуствен интелект;</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създаване на съвременни информационни комплекси за автономни енергийни системи;</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роботика и автоматизация на процеси, в т.ч. 3-D моделиране на роботизирани автоматизирани системи</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проектиране и производство на високо-технологични продукти и/или участие в над-национална производствена верига, вкл. в </w:t>
      </w:r>
      <w:proofErr w:type="spellStart"/>
      <w:r w:rsidRPr="003C4AB6">
        <w:rPr>
          <w:sz w:val="24"/>
          <w:szCs w:val="24"/>
        </w:rPr>
        <w:t>аеро-космическата</w:t>
      </w:r>
      <w:proofErr w:type="spellEnd"/>
      <w:r w:rsidRPr="003C4AB6">
        <w:rPr>
          <w:sz w:val="24"/>
          <w:szCs w:val="24"/>
        </w:rPr>
        <w:t xml:space="preserve"> индустрия</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био-мехатроника</w:t>
      </w:r>
      <w:proofErr w:type="spellEnd"/>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интелигентни системи и уреди, „интелигентни домове“ – „интелигентни градове“</w:t>
      </w:r>
      <w:r w:rsidRPr="003C4AB6">
        <w:rPr>
          <w:sz w:val="24"/>
          <w:szCs w:val="24"/>
          <w:lang w:val="en-US"/>
        </w:rPr>
        <w:t>;</w:t>
      </w:r>
    </w:p>
    <w:p w:rsidR="00496382" w:rsidRPr="003C4AB6" w:rsidRDefault="00496382" w:rsidP="00081C0A">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w:t>
      </w:r>
      <w:proofErr w:type="spellStart"/>
      <w:r w:rsidRPr="003C4AB6">
        <w:rPr>
          <w:sz w:val="24"/>
          <w:szCs w:val="24"/>
        </w:rPr>
        <w:t>еко-мобилност</w:t>
      </w:r>
      <w:proofErr w:type="spellEnd"/>
      <w:r w:rsidRPr="003C4AB6">
        <w:rPr>
          <w:sz w:val="24"/>
          <w:szCs w:val="24"/>
        </w:rPr>
        <w:t xml:space="preserve">, водород-базирани модели и технологии, безотпадни технологии, </w:t>
      </w:r>
      <w:proofErr w:type="spellStart"/>
      <w:r w:rsidRPr="003C4AB6">
        <w:rPr>
          <w:sz w:val="24"/>
          <w:szCs w:val="24"/>
        </w:rPr>
        <w:t>технологии</w:t>
      </w:r>
      <w:proofErr w:type="spellEnd"/>
      <w:r w:rsidRPr="003C4AB6">
        <w:rPr>
          <w:sz w:val="24"/>
          <w:szCs w:val="24"/>
        </w:rPr>
        <w:t xml:space="preserve"> и методи за включване на отпадъчни продукти и материали от производства в други производства).</w:t>
      </w:r>
    </w:p>
    <w:p w:rsidR="00DB3157" w:rsidRPr="003C4AB6" w:rsidRDefault="00DB3157" w:rsidP="00DB3157">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b/>
          <w:sz w:val="24"/>
          <w:szCs w:val="24"/>
        </w:rPr>
        <w:t xml:space="preserve">•    индустрия за здравословен живот и </w:t>
      </w:r>
      <w:proofErr w:type="spellStart"/>
      <w:r w:rsidRPr="003C4AB6">
        <w:rPr>
          <w:b/>
          <w:sz w:val="24"/>
          <w:szCs w:val="24"/>
        </w:rPr>
        <w:t>биотехнологии</w:t>
      </w:r>
      <w:proofErr w:type="spellEnd"/>
      <w:r w:rsidR="00C84AEA" w:rsidRPr="003C4AB6">
        <w:rPr>
          <w:rStyle w:val="FootnoteReference"/>
          <w:b/>
          <w:sz w:val="24"/>
          <w:szCs w:val="24"/>
        </w:rPr>
        <w:footnoteReference w:id="8"/>
      </w:r>
      <w:r w:rsidRPr="003C4AB6">
        <w:rPr>
          <w:b/>
          <w:sz w:val="24"/>
          <w:szCs w:val="24"/>
        </w:rPr>
        <w:t>:</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производство на специализирани храни и напитки (бебешки и детски, „космически“ храни);</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lastRenderedPageBreak/>
        <w:t xml:space="preserve">производство на инструменти, оборудване, консумативи за медицинска и </w:t>
      </w:r>
      <w:proofErr w:type="spellStart"/>
      <w:r w:rsidRPr="003C4AB6">
        <w:rPr>
          <w:sz w:val="24"/>
          <w:szCs w:val="24"/>
        </w:rPr>
        <w:t>дентална</w:t>
      </w:r>
      <w:proofErr w:type="spellEnd"/>
      <w:r w:rsidRPr="003C4AB6">
        <w:rPr>
          <w:sz w:val="24"/>
          <w:szCs w:val="24"/>
        </w:rPr>
        <w:t xml:space="preserve"> диагностика и терапия и/или участие в над-национална производствена верига;</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персонална медицина, диагностика и индивидуална терапия, лечебни и лекарствени форми и средства;</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медицински и лечебен туризъм с акцент върху възможностите за персонализация (немасов, а персонален туризъм);</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нано-технологии</w:t>
      </w:r>
      <w:proofErr w:type="spellEnd"/>
      <w:r w:rsidRPr="003C4AB6">
        <w:rPr>
          <w:sz w:val="24"/>
          <w:szCs w:val="24"/>
        </w:rPr>
        <w:t xml:space="preserve"> в услуга на медицината;</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био-технологии</w:t>
      </w:r>
      <w:proofErr w:type="spellEnd"/>
      <w:r w:rsidRPr="003C4AB6">
        <w:rPr>
          <w:sz w:val="24"/>
          <w:szCs w:val="24"/>
        </w:rPr>
        <w:t xml:space="preserve"> с пряко приложение за здравословен начин на живот;</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„сини“ технологии и приложение на нови методи и технологии в устойчивото ползване на речни и морски ресурси;</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производство на инсталации за добиване на екологично чиста електроенергия и промишлена вода;</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зелена икономика. </w:t>
      </w:r>
    </w:p>
    <w:p w:rsidR="00A3606D" w:rsidRPr="003C4AB6" w:rsidRDefault="00A3606D" w:rsidP="00A3606D">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b/>
          <w:sz w:val="24"/>
          <w:szCs w:val="24"/>
        </w:rPr>
        <w:t xml:space="preserve">•    нови технологии в креативните и </w:t>
      </w:r>
      <w:proofErr w:type="spellStart"/>
      <w:r w:rsidRPr="003C4AB6">
        <w:rPr>
          <w:b/>
          <w:sz w:val="24"/>
          <w:szCs w:val="24"/>
        </w:rPr>
        <w:t>рекреативните</w:t>
      </w:r>
      <w:proofErr w:type="spellEnd"/>
      <w:r w:rsidRPr="003C4AB6">
        <w:rPr>
          <w:b/>
          <w:sz w:val="24"/>
          <w:szCs w:val="24"/>
        </w:rPr>
        <w:t xml:space="preserve"> индустрии:</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компютърни и мобилни приложения и игри с образователен, маркетинг и/или развлекателен характер;</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алтернативен (селски, </w:t>
      </w:r>
      <w:proofErr w:type="spellStart"/>
      <w:r w:rsidRPr="003C4AB6">
        <w:rPr>
          <w:sz w:val="24"/>
          <w:szCs w:val="24"/>
        </w:rPr>
        <w:t>еко-</w:t>
      </w:r>
      <w:proofErr w:type="spellEnd"/>
      <w:r w:rsidRPr="003C4AB6">
        <w:rPr>
          <w:sz w:val="24"/>
          <w:szCs w:val="24"/>
        </w:rPr>
        <w:t xml:space="preserve">, културен и фестивален) и екстремен туризъм и спорт (за стимулиране на несезонен, немасов, а постоянен </w:t>
      </w:r>
      <w:proofErr w:type="spellStart"/>
      <w:r w:rsidRPr="003C4AB6">
        <w:rPr>
          <w:sz w:val="24"/>
          <w:szCs w:val="24"/>
        </w:rPr>
        <w:t>нишов</w:t>
      </w:r>
      <w:proofErr w:type="spellEnd"/>
      <w:r w:rsidRPr="003C4AB6">
        <w:rPr>
          <w:sz w:val="24"/>
          <w:szCs w:val="24"/>
        </w:rPr>
        <w:t xml:space="preserve"> туризъм);</w:t>
      </w:r>
    </w:p>
    <w:p w:rsidR="006762BA" w:rsidRPr="003C4AB6" w:rsidRDefault="006762BA" w:rsidP="00081C0A">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w:t>
      </w:r>
      <w:proofErr w:type="spellStart"/>
      <w:r w:rsidRPr="003C4AB6">
        <w:rPr>
          <w:sz w:val="24"/>
          <w:szCs w:val="24"/>
        </w:rPr>
        <w:t>възстановки</w:t>
      </w:r>
      <w:proofErr w:type="spellEnd"/>
      <w:r w:rsidRPr="003C4AB6">
        <w:rPr>
          <w:sz w:val="24"/>
          <w:szCs w:val="24"/>
        </w:rPr>
        <w:t>, специализирана екипировка и оборудване, печатни издания).</w:t>
      </w:r>
    </w:p>
    <w:p w:rsidR="0035682A" w:rsidRPr="003C4AB6" w:rsidRDefault="0035682A" w:rsidP="0087218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b/>
          <w:sz w:val="24"/>
          <w:szCs w:val="24"/>
        </w:rPr>
      </w:pPr>
    </w:p>
    <w:p w:rsidR="00261CEE" w:rsidRPr="003C4AB6" w:rsidRDefault="002F1FD6" w:rsidP="00643432">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sz w:val="24"/>
          <w:szCs w:val="24"/>
        </w:rPr>
      </w:pPr>
      <w:r w:rsidRPr="003C4AB6">
        <w:rPr>
          <w:b/>
          <w:sz w:val="24"/>
          <w:szCs w:val="24"/>
        </w:rPr>
        <w:t>2)</w:t>
      </w:r>
      <w:r w:rsidRPr="003C4AB6">
        <w:rPr>
          <w:sz w:val="24"/>
          <w:szCs w:val="24"/>
        </w:rPr>
        <w:t xml:space="preserve"> </w:t>
      </w:r>
      <w:r w:rsidR="00EE70D4" w:rsidRPr="003C4AB6">
        <w:rPr>
          <w:sz w:val="24"/>
          <w:szCs w:val="24"/>
        </w:rPr>
        <w:t>Проектите трябва да са насочени към разработване на иновация</w:t>
      </w:r>
    </w:p>
    <w:p w:rsidR="00EC7CC7" w:rsidRPr="003C4AB6" w:rsidRDefault="00EC7CC7" w:rsidP="00643432">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sz w:val="18"/>
          <w:szCs w:val="18"/>
        </w:rPr>
      </w:pPr>
    </w:p>
    <w:p w:rsidR="00EC7CC7" w:rsidRPr="003C4AB6" w:rsidRDefault="00997BDB" w:rsidP="00EC7CC7">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sz w:val="24"/>
          <w:szCs w:val="24"/>
        </w:rPr>
      </w:pPr>
      <w:r w:rsidRPr="003C4AB6">
        <w:rPr>
          <w:sz w:val="24"/>
          <w:szCs w:val="24"/>
        </w:rPr>
        <w:t>Съгласно Наръчника от Осло (</w:t>
      </w:r>
      <w:proofErr w:type="spellStart"/>
      <w:r w:rsidRPr="003C4AB6">
        <w:rPr>
          <w:sz w:val="24"/>
          <w:szCs w:val="24"/>
        </w:rPr>
        <w:t>Manuel</w:t>
      </w:r>
      <w:proofErr w:type="spellEnd"/>
      <w:r w:rsidRPr="003C4AB6">
        <w:rPr>
          <w:sz w:val="24"/>
          <w:szCs w:val="24"/>
        </w:rPr>
        <w:t xml:space="preserve"> </w:t>
      </w:r>
      <w:proofErr w:type="spellStart"/>
      <w:r w:rsidRPr="003C4AB6">
        <w:rPr>
          <w:sz w:val="24"/>
          <w:szCs w:val="24"/>
        </w:rPr>
        <w:t>d’Oslo</w:t>
      </w:r>
      <w:proofErr w:type="spellEnd"/>
      <w:r w:rsidRPr="003C4AB6">
        <w:rPr>
          <w:sz w:val="24"/>
          <w:szCs w:val="24"/>
        </w:rPr>
        <w:t xml:space="preserve"> 3e </w:t>
      </w:r>
      <w:proofErr w:type="spellStart"/>
      <w:r w:rsidRPr="003C4AB6">
        <w:rPr>
          <w:sz w:val="24"/>
          <w:szCs w:val="24"/>
        </w:rPr>
        <w:t>édition</w:t>
      </w:r>
      <w:proofErr w:type="spellEnd"/>
      <w:r w:rsidRPr="003C4AB6">
        <w:rPr>
          <w:sz w:val="24"/>
          <w:szCs w:val="24"/>
        </w:rPr>
        <w:t xml:space="preserve"> © OECD/EUROPEAN COMMUNITIES 2005) </w:t>
      </w:r>
      <w:r w:rsidRPr="003C4AB6">
        <w:rPr>
          <w:b/>
          <w:sz w:val="24"/>
          <w:szCs w:val="24"/>
        </w:rPr>
        <w:t>иновация</w:t>
      </w:r>
      <w:r w:rsidRPr="003C4AB6">
        <w:rPr>
          <w:sz w:val="24"/>
          <w:szCs w:val="24"/>
        </w:rPr>
        <w:t xml:space="preserve">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p>
    <w:p w:rsidR="00CD7338" w:rsidRPr="003C4AB6" w:rsidRDefault="00CD7338" w:rsidP="00CD7338">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sz w:val="24"/>
          <w:szCs w:val="24"/>
        </w:rPr>
        <w:t xml:space="preserve">Съгласно посочената дефиниция могат да бъдат разграничени следните </w:t>
      </w:r>
      <w:r w:rsidRPr="003C4AB6">
        <w:rPr>
          <w:b/>
          <w:sz w:val="24"/>
          <w:szCs w:val="24"/>
        </w:rPr>
        <w:t>видове иновации:</w:t>
      </w:r>
    </w:p>
    <w:p w:rsidR="00CD7338" w:rsidRPr="003C4AB6" w:rsidRDefault="00CD7338" w:rsidP="006423B4">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Pr="003C4AB6">
        <w:rPr>
          <w:b/>
          <w:sz w:val="24"/>
          <w:szCs w:val="24"/>
        </w:rPr>
        <w:t>Продуктова (стока или услуга) иновация</w:t>
      </w:r>
      <w:r w:rsidRPr="003C4AB6">
        <w:rPr>
          <w:sz w:val="24"/>
          <w:szCs w:val="24"/>
        </w:rPr>
        <w:t xml:space="preserve"> е внедряване на стока или услуга, която е нова или значително подобрена по отношение на нейните свойства или начини на използване. Това включва и значителните подобрения в техническите характеристики, компонентите и материалите, вграден софтуер, степента на удобството при ползване или в някакви други функционални характеристики;</w:t>
      </w:r>
    </w:p>
    <w:p w:rsidR="00CD7338" w:rsidRPr="003C4AB6" w:rsidRDefault="00CD7338" w:rsidP="006423B4">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lastRenderedPageBreak/>
        <w:t xml:space="preserve">• </w:t>
      </w:r>
      <w:r w:rsidR="000A112C" w:rsidRPr="003C4AB6">
        <w:rPr>
          <w:b/>
          <w:sz w:val="24"/>
          <w:szCs w:val="24"/>
        </w:rPr>
        <w:t>Производствена (</w:t>
      </w:r>
      <w:proofErr w:type="spellStart"/>
      <w:r w:rsidR="000A112C" w:rsidRPr="003C4AB6">
        <w:rPr>
          <w:b/>
          <w:sz w:val="24"/>
          <w:szCs w:val="24"/>
        </w:rPr>
        <w:t>процесова</w:t>
      </w:r>
      <w:proofErr w:type="spellEnd"/>
      <w:r w:rsidRPr="003C4AB6">
        <w:rPr>
          <w:b/>
          <w:sz w:val="24"/>
          <w:szCs w:val="24"/>
        </w:rPr>
        <w:t>) иновация</w:t>
      </w:r>
      <w:r w:rsidRPr="003C4AB6">
        <w:rPr>
          <w:sz w:val="24"/>
          <w:szCs w:val="24"/>
        </w:rPr>
        <w:t xml:space="preserve"> е внедряване на нов или значително подобрен начин на производство или доставка на продукта. Тук влизат значителни изменения в технологиите, производственото оборудване и/или софтуера;</w:t>
      </w:r>
    </w:p>
    <w:p w:rsidR="00CD7338" w:rsidRPr="003C4AB6" w:rsidRDefault="00CD7338" w:rsidP="006423B4">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Маркетингова иновация е внедряване на нов метод за маркетинг, включително на значителни изменения в дизайна или опаковката на продукта, неговото складиране, реклама на пазара или в определянето на неговата продажна цена;</w:t>
      </w:r>
    </w:p>
    <w:p w:rsidR="006E0D5E" w:rsidRPr="003C4AB6" w:rsidRDefault="00CD7338" w:rsidP="00180193">
      <w:pPr>
        <w:pBdr>
          <w:top w:val="single" w:sz="4" w:space="1" w:color="auto"/>
          <w:left w:val="single" w:sz="4" w:space="4" w:color="auto"/>
          <w:bottom w:val="single" w:sz="4" w:space="1" w:color="auto"/>
          <w:right w:val="single" w:sz="4" w:space="4" w:color="auto"/>
        </w:pBdr>
        <w:spacing w:before="120" w:after="240" w:line="240" w:lineRule="auto"/>
        <w:jc w:val="both"/>
        <w:rPr>
          <w:sz w:val="24"/>
          <w:szCs w:val="24"/>
        </w:rPr>
      </w:pPr>
      <w:r w:rsidRPr="003C4AB6">
        <w:rPr>
          <w:sz w:val="24"/>
          <w:szCs w:val="24"/>
        </w:rPr>
        <w:t>• Организационна иновация е внедряване на нов организационен метод в търговската практика на фирмата, в организацията на работните места или външните връзки.</w:t>
      </w:r>
    </w:p>
    <w:p w:rsidR="00180193" w:rsidRPr="003C4AB6" w:rsidRDefault="00180193" w:rsidP="00180193">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ВАЖНО: </w:t>
      </w:r>
      <w:r w:rsidRPr="003C4AB6">
        <w:rPr>
          <w:sz w:val="24"/>
          <w:szCs w:val="24"/>
        </w:rPr>
        <w:t xml:space="preserve">С оглед на постигане на целите и изпълнение на индикаторите, заложени в ОПИК 2014-2020, по процедурата </w:t>
      </w:r>
      <w:r w:rsidRPr="003C4AB6">
        <w:rPr>
          <w:b/>
          <w:sz w:val="24"/>
          <w:szCs w:val="24"/>
        </w:rPr>
        <w:t>ще бъдат финансирани САМО проекти за разработване на продуктова и/или производствена иновация.</w:t>
      </w:r>
    </w:p>
    <w:p w:rsidR="00997BDB" w:rsidRPr="003C4AB6" w:rsidRDefault="00997BDB" w:rsidP="00997BDB">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sz w:val="24"/>
          <w:szCs w:val="24"/>
        </w:rPr>
        <w:t xml:space="preserve">По процедурата </w:t>
      </w:r>
      <w:r w:rsidRPr="003C4AB6">
        <w:rPr>
          <w:b/>
          <w:sz w:val="24"/>
          <w:szCs w:val="24"/>
        </w:rPr>
        <w:t>няма</w:t>
      </w:r>
      <w:r w:rsidRPr="003C4AB6">
        <w:rPr>
          <w:sz w:val="24"/>
          <w:szCs w:val="24"/>
        </w:rPr>
        <w:t xml:space="preserve"> да се приемат за иновации:</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незначителни  изменения или подобрения;</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рутинни  модернизации</w:t>
      </w:r>
      <w:r w:rsidR="00D2626C" w:rsidRPr="003C4AB6">
        <w:rPr>
          <w:rStyle w:val="FootnoteReference"/>
          <w:sz w:val="24"/>
          <w:szCs w:val="24"/>
        </w:rPr>
        <w:footnoteReference w:id="9"/>
      </w:r>
      <w:r w:rsidRPr="003C4AB6">
        <w:rPr>
          <w:sz w:val="24"/>
          <w:szCs w:val="24"/>
        </w:rPr>
        <w:t>;</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редовни </w:t>
      </w:r>
      <w:r w:rsidR="000A112C" w:rsidRPr="003C4AB6">
        <w:rPr>
          <w:sz w:val="24"/>
          <w:szCs w:val="24"/>
        </w:rPr>
        <w:t xml:space="preserve"> сезонни изменения (например</w:t>
      </w:r>
      <w:r w:rsidRPr="003C4AB6">
        <w:rPr>
          <w:sz w:val="24"/>
          <w:szCs w:val="24"/>
        </w:rPr>
        <w:t xml:space="preserve"> в асортимента на облеклото); </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следствия  от приспособяване към изискванията  на отделния клиент, които не  водят до съществени отлики  от продукцията, произведена за  останалите клиенти;</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изменения в дизайна, които не променят функционирането, предназначението  или техническите характеристики  на стоката или услугата;</w:t>
      </w:r>
    </w:p>
    <w:p w:rsidR="00997BDB" w:rsidRPr="003C4AB6" w:rsidRDefault="00997BDB" w:rsidP="00FA7F21">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проста препродажба на нови стоки или услуги,придобити от други предприятия;</w:t>
      </w:r>
    </w:p>
    <w:p w:rsidR="006E0D5E" w:rsidRPr="003C4AB6" w:rsidRDefault="00997BDB" w:rsidP="00B14028">
      <w:pPr>
        <w:pStyle w:val="ListParagraph"/>
        <w:numPr>
          <w:ilvl w:val="0"/>
          <w:numId w:val="29"/>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увеличаване на производствения капацитет или капацитета за предоставяне на услуги чрез добавяне на производствени или логистични системи, които са много сходни с вече използваните.</w:t>
      </w:r>
    </w:p>
    <w:p w:rsidR="00872183" w:rsidRPr="003C4AB6" w:rsidRDefault="00872183" w:rsidP="00FA1AC3">
      <w:pPr>
        <w:pStyle w:val="ListParagraph"/>
        <w:pBdr>
          <w:top w:val="single" w:sz="4" w:space="1" w:color="auto"/>
          <w:left w:val="single" w:sz="4" w:space="4" w:color="auto"/>
          <w:bottom w:val="single" w:sz="4" w:space="1" w:color="auto"/>
          <w:right w:val="single" w:sz="4" w:space="4" w:color="auto"/>
        </w:pBdr>
        <w:spacing w:before="240" w:after="120" w:line="240" w:lineRule="auto"/>
        <w:ind w:left="0"/>
        <w:jc w:val="both"/>
        <w:rPr>
          <w:b/>
          <w:sz w:val="24"/>
          <w:szCs w:val="24"/>
        </w:rPr>
      </w:pPr>
    </w:p>
    <w:p w:rsidR="00D04D51" w:rsidRPr="003C4AB6" w:rsidRDefault="00F1288A" w:rsidP="00D04D51">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3</w:t>
      </w:r>
      <w:r w:rsidR="00D04D51" w:rsidRPr="003C4AB6">
        <w:rPr>
          <w:b/>
          <w:sz w:val="24"/>
          <w:szCs w:val="24"/>
        </w:rPr>
        <w:t>)</w:t>
      </w:r>
      <w:r w:rsidR="00D04D51" w:rsidRPr="003C4AB6">
        <w:rPr>
          <w:sz w:val="24"/>
          <w:szCs w:val="24"/>
        </w:rPr>
        <w:t xml:space="preserve"> Проектът е в съответствие с хоризонталните политики, залегнали в чл.</w:t>
      </w:r>
      <w:r w:rsidR="00E20CA0" w:rsidRPr="003C4AB6">
        <w:rPr>
          <w:sz w:val="24"/>
          <w:szCs w:val="24"/>
        </w:rPr>
        <w:t xml:space="preserve"> </w:t>
      </w:r>
      <w:r w:rsidR="00D04D51" w:rsidRPr="003C4AB6">
        <w:rPr>
          <w:sz w:val="24"/>
          <w:szCs w:val="24"/>
        </w:rPr>
        <w:t>7 и чл.</w:t>
      </w:r>
      <w:r w:rsidR="00E20CA0" w:rsidRPr="003C4AB6">
        <w:rPr>
          <w:sz w:val="24"/>
          <w:szCs w:val="24"/>
        </w:rPr>
        <w:t xml:space="preserve"> </w:t>
      </w:r>
      <w:r w:rsidR="00D04D51" w:rsidRPr="003C4AB6">
        <w:rPr>
          <w:sz w:val="24"/>
          <w:szCs w:val="24"/>
        </w:rPr>
        <w:t xml:space="preserve">8 на Регламент (ЕС) № 1303/2013 на </w:t>
      </w:r>
      <w:r w:rsidR="007979E7" w:rsidRPr="003C4AB6">
        <w:rPr>
          <w:sz w:val="24"/>
          <w:szCs w:val="24"/>
        </w:rPr>
        <w:t>Е</w:t>
      </w:r>
      <w:r w:rsidR="00D04D51" w:rsidRPr="003C4AB6">
        <w:rPr>
          <w:sz w:val="24"/>
          <w:szCs w:val="24"/>
        </w:rPr>
        <w:t>в</w:t>
      </w:r>
      <w:r w:rsidR="009B454D" w:rsidRPr="003C4AB6">
        <w:rPr>
          <w:sz w:val="24"/>
          <w:szCs w:val="24"/>
        </w:rPr>
        <w:t>ропейския парламент и на Съвета.</w:t>
      </w:r>
    </w:p>
    <w:p w:rsidR="007E4EB4" w:rsidRPr="003C4AB6" w:rsidRDefault="007E4EB4" w:rsidP="00D04D5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 xml:space="preserve">ВАЖНО: </w:t>
      </w:r>
      <w:r w:rsidRPr="003C4AB6">
        <w:rPr>
          <w:sz w:val="24"/>
          <w:szCs w:val="24"/>
        </w:rPr>
        <w:t xml:space="preserve">При </w:t>
      </w:r>
      <w:r w:rsidR="00471AB4" w:rsidRPr="003C4AB6">
        <w:rPr>
          <w:sz w:val="24"/>
          <w:szCs w:val="24"/>
        </w:rPr>
        <w:t>разработването</w:t>
      </w:r>
      <w:r w:rsidRPr="003C4AB6">
        <w:rPr>
          <w:sz w:val="24"/>
          <w:szCs w:val="24"/>
        </w:rPr>
        <w:t xml:space="preserve"> на иновативните продукти (стоки или услуги) или процеси не трябва да се нарушават чужди права върху интелектуална собственост. Ненарушаването на чужди права върху интелектуална собственост се декларира с Декларация за ненарушаване на чужди права в</w:t>
      </w:r>
      <w:r w:rsidR="00471AB4" w:rsidRPr="003C4AB6">
        <w:rPr>
          <w:sz w:val="24"/>
          <w:szCs w:val="24"/>
        </w:rPr>
        <w:t xml:space="preserve">ърху интелектуална собственост </w:t>
      </w:r>
      <w:r w:rsidRPr="003C4AB6">
        <w:rPr>
          <w:sz w:val="24"/>
          <w:szCs w:val="24"/>
        </w:rPr>
        <w:t xml:space="preserve">(Приложение </w:t>
      </w:r>
      <w:r w:rsidR="00B03388" w:rsidRPr="003C4AB6">
        <w:rPr>
          <w:sz w:val="24"/>
          <w:szCs w:val="24"/>
        </w:rPr>
        <w:t>Е</w:t>
      </w:r>
      <w:r w:rsidRPr="003C4AB6">
        <w:rPr>
          <w:sz w:val="24"/>
          <w:szCs w:val="24"/>
        </w:rPr>
        <w:t xml:space="preserve"> към </w:t>
      </w:r>
      <w:r w:rsidR="007B1E28">
        <w:rPr>
          <w:sz w:val="24"/>
          <w:szCs w:val="24"/>
        </w:rPr>
        <w:t>Условия</w:t>
      </w:r>
      <w:r w:rsidRPr="003C4AB6">
        <w:rPr>
          <w:sz w:val="24"/>
          <w:szCs w:val="24"/>
        </w:rPr>
        <w:t>т</w:t>
      </w:r>
      <w:r w:rsidR="00F53AB3">
        <w:rPr>
          <w:sz w:val="24"/>
          <w:szCs w:val="24"/>
        </w:rPr>
        <w:t>а</w:t>
      </w:r>
      <w:r w:rsidRPr="003C4AB6">
        <w:rPr>
          <w:sz w:val="24"/>
          <w:szCs w:val="24"/>
        </w:rPr>
        <w:t xml:space="preserve"> за кандидатстване).</w:t>
      </w:r>
      <w:r w:rsidR="0074322A" w:rsidRPr="003C4AB6">
        <w:rPr>
          <w:sz w:val="24"/>
          <w:szCs w:val="24"/>
        </w:rPr>
        <w:t xml:space="preserve"> В случай на одобрение на проекта, Декларацията за ненарушаване на чужди права върху интелектуална собственост (Приложение </w:t>
      </w:r>
      <w:r w:rsidR="00B03388" w:rsidRPr="003C4AB6">
        <w:rPr>
          <w:sz w:val="24"/>
          <w:szCs w:val="24"/>
        </w:rPr>
        <w:t>Е</w:t>
      </w:r>
      <w:r w:rsidR="0074322A" w:rsidRPr="003C4AB6">
        <w:rPr>
          <w:sz w:val="24"/>
          <w:szCs w:val="24"/>
        </w:rPr>
        <w:t xml:space="preserve">) става </w:t>
      </w:r>
      <w:r w:rsidR="0074322A" w:rsidRPr="003C4AB6">
        <w:rPr>
          <w:sz w:val="24"/>
          <w:szCs w:val="24"/>
        </w:rPr>
        <w:lastRenderedPageBreak/>
        <w:t xml:space="preserve">неразделна част от </w:t>
      </w:r>
      <w:r w:rsidR="00317539">
        <w:rPr>
          <w:sz w:val="24"/>
          <w:szCs w:val="24"/>
        </w:rPr>
        <w:t xml:space="preserve">административния </w:t>
      </w:r>
      <w:r w:rsidR="0074322A" w:rsidRPr="003C4AB6">
        <w:rPr>
          <w:sz w:val="24"/>
          <w:szCs w:val="24"/>
        </w:rPr>
        <w:t>договор за предоставяне на безвъзмездна финансова помощ.</w:t>
      </w:r>
    </w:p>
    <w:p w:rsidR="007E4EB4" w:rsidRPr="003C4AB6" w:rsidRDefault="0074322A" w:rsidP="00D04D5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3C4AB6">
        <w:rPr>
          <w:sz w:val="24"/>
          <w:szCs w:val="24"/>
        </w:rPr>
        <w:t xml:space="preserve">В случай че по време на или след изпълнението на проекта възникне съдебен спор, </w:t>
      </w:r>
      <w:proofErr w:type="spellStart"/>
      <w:r w:rsidRPr="003C4AB6">
        <w:rPr>
          <w:sz w:val="24"/>
          <w:szCs w:val="24"/>
        </w:rPr>
        <w:t>касаещ</w:t>
      </w:r>
      <w:proofErr w:type="spellEnd"/>
      <w:r w:rsidRPr="003C4AB6">
        <w:rPr>
          <w:sz w:val="24"/>
          <w:szCs w:val="24"/>
        </w:rPr>
        <w:t xml:space="preserve"> правата върху интелектуална собственост върху продукта (стоката или услугата)/процеса, </w:t>
      </w:r>
      <w:r w:rsidR="003C7EEC" w:rsidRPr="003C4AB6">
        <w:rPr>
          <w:sz w:val="24"/>
          <w:szCs w:val="24"/>
        </w:rPr>
        <w:t>разработван</w:t>
      </w:r>
      <w:r w:rsidRPr="003C4AB6">
        <w:rPr>
          <w:sz w:val="24"/>
          <w:szCs w:val="24"/>
        </w:rPr>
        <w:t xml:space="preserve"> чрез проект по настоящата процедура за подбор на проекти,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rsidR="003F3C1B" w:rsidRPr="003C4AB6" w:rsidRDefault="003F3C1B" w:rsidP="00D04D5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p>
    <w:p w:rsidR="003F3C1B" w:rsidRPr="003C4AB6" w:rsidRDefault="003F3C1B" w:rsidP="00D04D51">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3C4AB6">
        <w:rPr>
          <w:b/>
          <w:sz w:val="24"/>
          <w:szCs w:val="24"/>
          <w:lang w:val="en-US"/>
        </w:rPr>
        <w:t xml:space="preserve">II. </w:t>
      </w:r>
      <w:r w:rsidRPr="003C4AB6">
        <w:rPr>
          <w:b/>
          <w:sz w:val="24"/>
          <w:szCs w:val="24"/>
        </w:rPr>
        <w:t>Допустими дейности:</w:t>
      </w:r>
    </w:p>
    <w:p w:rsidR="00B41C3D" w:rsidRPr="003C4AB6" w:rsidRDefault="00B41C3D" w:rsidP="00B41C3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3C4AB6">
        <w:rPr>
          <w:b/>
          <w:sz w:val="24"/>
          <w:szCs w:val="24"/>
        </w:rPr>
        <w:t>Допустими по настоящата процедура са проекти, включващи следните дейности:</w:t>
      </w:r>
    </w:p>
    <w:p w:rsidR="00B41C3D" w:rsidRPr="003C4AB6" w:rsidRDefault="00B41C3D" w:rsidP="00B41C3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10"/>
          <w:szCs w:val="10"/>
        </w:rPr>
      </w:pPr>
    </w:p>
    <w:p w:rsidR="00F60FF4" w:rsidRPr="003C4AB6" w:rsidRDefault="00F60FF4" w:rsidP="00411E24">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3C4AB6">
        <w:rPr>
          <w:b/>
          <w:sz w:val="24"/>
          <w:szCs w:val="24"/>
        </w:rPr>
        <w:t>1/</w:t>
      </w:r>
      <w:r w:rsidRPr="003C4AB6">
        <w:rPr>
          <w:sz w:val="24"/>
          <w:szCs w:val="24"/>
        </w:rPr>
        <w:t xml:space="preserve"> Извършване на приложни научни изследвания, тествания, изпитвания и измервания (вкл. създаване на програми и методики), свързани с разработването на иновативния продукт или процес;</w:t>
      </w: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2/</w:t>
      </w:r>
      <w:r w:rsidRPr="003C4AB6">
        <w:rPr>
          <w:sz w:val="24"/>
          <w:szCs w:val="24"/>
        </w:rPr>
        <w:t xml:space="preserve"> Проучване, придобиване и прилагане на резултати от научни изследвания, технологии, </w:t>
      </w:r>
      <w:proofErr w:type="spellStart"/>
      <w:r w:rsidRPr="003C4AB6">
        <w:rPr>
          <w:sz w:val="24"/>
          <w:szCs w:val="24"/>
        </w:rPr>
        <w:t>know-how</w:t>
      </w:r>
      <w:proofErr w:type="spellEnd"/>
      <w:r w:rsidRPr="003C4AB6">
        <w:rPr>
          <w:sz w:val="24"/>
          <w:szCs w:val="24"/>
        </w:rPr>
        <w:t>, непатентовани открития, права по интелектуална собственост;</w:t>
      </w: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3/</w:t>
      </w:r>
      <w:r w:rsidRPr="003C4AB6">
        <w:rPr>
          <w:sz w:val="24"/>
          <w:szCs w:val="24"/>
        </w:rPr>
        <w:t xml:space="preserve"> Защита на интелектуална собственост на национално и международно равнище</w:t>
      </w:r>
      <w:r w:rsidR="00F02B60">
        <w:rPr>
          <w:sz w:val="24"/>
          <w:szCs w:val="24"/>
        </w:rPr>
        <w:t xml:space="preserve"> </w:t>
      </w:r>
      <w:r w:rsidR="00F02B60" w:rsidRPr="00F02B60">
        <w:rPr>
          <w:sz w:val="24"/>
          <w:szCs w:val="24"/>
        </w:rPr>
        <w:t>(вкл. такси за регистрация на патент, полезен модел или промишлен дизайн)</w:t>
      </w:r>
      <w:r w:rsidRPr="003C4AB6">
        <w:rPr>
          <w:sz w:val="24"/>
          <w:szCs w:val="24"/>
        </w:rPr>
        <w:t>;</w:t>
      </w: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4/</w:t>
      </w:r>
      <w:r w:rsidRPr="003C4AB6">
        <w:rPr>
          <w:sz w:val="24"/>
          <w:szCs w:val="24"/>
        </w:rPr>
        <w:t xml:space="preserve"> Създаване и тестване на прототипи и пилотни линии;</w:t>
      </w: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EC4CA1"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ВАЖНО:</w:t>
      </w:r>
      <w:r w:rsidRPr="003C4AB6">
        <w:rPr>
          <w:sz w:val="24"/>
          <w:szCs w:val="24"/>
        </w:rPr>
        <w:t xml:space="preserve"> В случай че проектното предложение включва дейности по т. 5 - 8 по-долу, те следва да бъдат включени в плана за изпълнение на дейностите по проекта</w:t>
      </w:r>
      <w:r w:rsidR="00DD346A" w:rsidRPr="003C4AB6">
        <w:rPr>
          <w:sz w:val="24"/>
          <w:szCs w:val="24"/>
        </w:rPr>
        <w:t>, съответно</w:t>
      </w:r>
      <w:r w:rsidR="005A632A" w:rsidRPr="003C4AB6">
        <w:rPr>
          <w:sz w:val="24"/>
          <w:szCs w:val="24"/>
        </w:rPr>
        <w:t xml:space="preserve"> в бюджета на проекта</w:t>
      </w:r>
      <w:r w:rsidR="006740E1" w:rsidRPr="003C4AB6">
        <w:rPr>
          <w:sz w:val="24"/>
          <w:szCs w:val="24"/>
        </w:rPr>
        <w:t xml:space="preserve"> (т. 7 „План за изпълнение/Дейности по проекта“ </w:t>
      </w:r>
      <w:r w:rsidR="005A632A" w:rsidRPr="003C4AB6">
        <w:rPr>
          <w:sz w:val="24"/>
          <w:szCs w:val="24"/>
        </w:rPr>
        <w:t xml:space="preserve">и т. 5 „Бюджет“ </w:t>
      </w:r>
      <w:r w:rsidR="006740E1" w:rsidRPr="003C4AB6">
        <w:rPr>
          <w:sz w:val="24"/>
          <w:szCs w:val="24"/>
        </w:rPr>
        <w:t>от Формуляра за кандидатстване)</w:t>
      </w:r>
      <w:r w:rsidRPr="003C4AB6">
        <w:rPr>
          <w:sz w:val="24"/>
          <w:szCs w:val="24"/>
        </w:rPr>
        <w:t xml:space="preserve"> и тяхното изпълнение следва да стартира </w:t>
      </w:r>
      <w:r w:rsidRPr="003C4AB6">
        <w:rPr>
          <w:b/>
          <w:sz w:val="24"/>
          <w:szCs w:val="24"/>
        </w:rPr>
        <w:t>задължително след приключване на изпълнението и верификация от страна на УО</w:t>
      </w:r>
      <w:r w:rsidRPr="003C4AB6">
        <w:rPr>
          <w:sz w:val="24"/>
          <w:szCs w:val="24"/>
        </w:rPr>
        <w:t xml:space="preserve"> на дейностите по т. 1 - 4.</w:t>
      </w:r>
      <w:r w:rsidR="00C87B2E" w:rsidRPr="003C4AB6">
        <w:rPr>
          <w:sz w:val="24"/>
          <w:szCs w:val="24"/>
        </w:rPr>
        <w:t xml:space="preserve"> </w:t>
      </w:r>
      <w:r w:rsidR="007B0707" w:rsidRPr="003C4AB6">
        <w:rPr>
          <w:sz w:val="24"/>
          <w:szCs w:val="24"/>
        </w:rPr>
        <w:t xml:space="preserve">При включване на дейности по т. 5 - 8 по-долу в плана за изпълнение на дейностите по проекта, </w:t>
      </w:r>
      <w:r w:rsidR="007B0707" w:rsidRPr="009714F2">
        <w:rPr>
          <w:sz w:val="24"/>
          <w:szCs w:val="24"/>
        </w:rPr>
        <w:t>кандидатите следва да</w:t>
      </w:r>
      <w:r w:rsidR="00EC4CA1">
        <w:rPr>
          <w:sz w:val="24"/>
          <w:szCs w:val="24"/>
        </w:rPr>
        <w:t xml:space="preserve"> </w:t>
      </w:r>
      <w:r w:rsidR="00EC4CA1" w:rsidRPr="00EC4CA1">
        <w:rPr>
          <w:sz w:val="24"/>
          <w:szCs w:val="24"/>
        </w:rPr>
        <w:t>предвидят сроковете съгласно чл. 62, ал.1 от ЗУСЕСУФ, свързани с верификацията и плащането от страна на УО на подадените междинни отчети.</w:t>
      </w:r>
    </w:p>
    <w:p w:rsidR="00EC4CA1" w:rsidRPr="003C4AB6" w:rsidRDefault="00EC4CA1"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5/</w:t>
      </w:r>
      <w:r w:rsidRPr="003C4AB6">
        <w:rPr>
          <w:sz w:val="24"/>
          <w:szCs w:val="24"/>
        </w:rPr>
        <w:t xml:space="preserve"> Изработване на икономическа оценка, финансова оценка и техническа оценка</w:t>
      </w:r>
      <w:r w:rsidR="001A207A" w:rsidRPr="003C4AB6">
        <w:rPr>
          <w:sz w:val="24"/>
          <w:szCs w:val="24"/>
        </w:rPr>
        <w:t xml:space="preserve"> (вкл. инвестиционен бизнес план)</w:t>
      </w:r>
      <w:r w:rsidRPr="003C4AB6">
        <w:rPr>
          <w:sz w:val="24"/>
          <w:szCs w:val="24"/>
        </w:rPr>
        <w:t xml:space="preserve"> на разработвания иновативен продукт или процес;</w:t>
      </w:r>
    </w:p>
    <w:p w:rsidR="00323CE5" w:rsidRPr="003C4AB6" w:rsidRDefault="00323CE5"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6/</w:t>
      </w:r>
      <w:r w:rsidRPr="003C4AB6">
        <w:rPr>
          <w:sz w:val="24"/>
          <w:szCs w:val="24"/>
        </w:rPr>
        <w:t xml:space="preserve"> Разработване на технологии за производство на иновативния продукт или процес;</w:t>
      </w:r>
    </w:p>
    <w:p w:rsidR="00323CE5" w:rsidRPr="003C4AB6" w:rsidRDefault="00323CE5"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7/</w:t>
      </w:r>
      <w:r w:rsidRPr="003C4AB6">
        <w:rPr>
          <w:sz w:val="24"/>
          <w:szCs w:val="24"/>
        </w:rPr>
        <w:t xml:space="preserve"> Изработване на пазарни анализи и проучвания, маркетингови планове за пазарна реализация на иновативния продукт или процес; </w:t>
      </w:r>
    </w:p>
    <w:p w:rsidR="00323CE5" w:rsidRPr="003C4AB6" w:rsidRDefault="00323CE5"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F60FF4" w:rsidRPr="003C4AB6"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lastRenderedPageBreak/>
        <w:t>8/</w:t>
      </w:r>
      <w:r w:rsidRPr="003C4AB6">
        <w:rPr>
          <w:sz w:val="24"/>
          <w:szCs w:val="24"/>
        </w:rPr>
        <w:t xml:space="preserve"> Организиране на </w:t>
      </w:r>
      <w:proofErr w:type="spellStart"/>
      <w:r w:rsidRPr="003C4AB6">
        <w:rPr>
          <w:sz w:val="24"/>
          <w:szCs w:val="24"/>
        </w:rPr>
        <w:t>промоционални</w:t>
      </w:r>
      <w:proofErr w:type="spellEnd"/>
      <w:r w:rsidRPr="003C4AB6">
        <w:rPr>
          <w:sz w:val="24"/>
          <w:szCs w:val="24"/>
        </w:rPr>
        <w:t xml:space="preserve"> събития в България, свързани с популяризиране на иновативния продукт или процес; </w:t>
      </w:r>
    </w:p>
    <w:p w:rsidR="00323CE5" w:rsidRPr="003C4AB6" w:rsidRDefault="00323CE5"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B41C3D" w:rsidRDefault="00F60FF4"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9/</w:t>
      </w:r>
      <w:r w:rsidRPr="003C4AB6">
        <w:rPr>
          <w:sz w:val="24"/>
          <w:szCs w:val="24"/>
        </w:rPr>
        <w:t xml:space="preserve"> Визуализация на проекта</w:t>
      </w:r>
    </w:p>
    <w:p w:rsidR="008B52BC" w:rsidRDefault="008B52BC"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442E89" w:rsidRDefault="00267F20"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Пълният набор от мерки за информиране и публичност</w:t>
      </w:r>
      <w:r w:rsidR="00151806">
        <w:rPr>
          <w:sz w:val="24"/>
          <w:szCs w:val="24"/>
        </w:rPr>
        <w:t xml:space="preserve"> (визуализация)</w:t>
      </w:r>
      <w:r w:rsidRPr="003C4AB6">
        <w:rPr>
          <w:sz w:val="24"/>
          <w:szCs w:val="24"/>
        </w:rPr>
        <w:t xml:space="preserve">,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442E89">
        <w:rPr>
          <w:sz w:val="24"/>
          <w:szCs w:val="24"/>
        </w:rPr>
        <w:t>–</w:t>
      </w:r>
    </w:p>
    <w:p w:rsidR="008B52BC" w:rsidRPr="003C4AB6" w:rsidRDefault="0036767F" w:rsidP="00F60FF4">
      <w:pPr>
        <w:pBdr>
          <w:top w:val="single" w:sz="4" w:space="1" w:color="auto"/>
          <w:left w:val="single" w:sz="4" w:space="4" w:color="auto"/>
          <w:bottom w:val="single" w:sz="4" w:space="1" w:color="auto"/>
          <w:right w:val="single" w:sz="4" w:space="4" w:color="auto"/>
        </w:pBdr>
        <w:spacing w:after="0" w:line="240" w:lineRule="auto"/>
        <w:jc w:val="both"/>
        <w:rPr>
          <w:sz w:val="24"/>
          <w:szCs w:val="24"/>
        </w:rPr>
      </w:pPr>
      <w:hyperlink r:id="rId9" w:history="1">
        <w:r w:rsidR="00267F20" w:rsidRPr="003C4AB6">
          <w:rPr>
            <w:rStyle w:val="Hyperlink"/>
            <w:sz w:val="24"/>
            <w:szCs w:val="24"/>
          </w:rPr>
          <w:t>http://www.opcompetitiveness.bg/module3.php?menu_id=359</w:t>
        </w:r>
      </w:hyperlink>
      <w:r w:rsidR="00267F20" w:rsidRPr="003C4AB6">
        <w:rPr>
          <w:sz w:val="24"/>
          <w:szCs w:val="24"/>
        </w:rPr>
        <w:t>.</w:t>
      </w:r>
    </w:p>
    <w:p w:rsidR="00B41C3D" w:rsidRPr="003C4AB6" w:rsidRDefault="00B41C3D" w:rsidP="00B41C3D">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B41C3D" w:rsidRPr="003C4AB6" w:rsidRDefault="00B41C3D" w:rsidP="00B41C3D">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 xml:space="preserve">ВАЖНО: </w:t>
      </w:r>
      <w:r w:rsidRPr="003C4AB6">
        <w:rPr>
          <w:sz w:val="24"/>
          <w:szCs w:val="24"/>
        </w:rPr>
        <w:t>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 посочените по-горе дейности.</w:t>
      </w:r>
    </w:p>
    <w:p w:rsidR="00B41C3D" w:rsidRPr="003C4AB6" w:rsidRDefault="00B41C3D" w:rsidP="00B41C3D">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Посочените дейности следва да са в съответствие с поне една от хоризонталните политики на ЕС, посочени в т. 17 от </w:t>
      </w:r>
      <w:r w:rsidR="007B1E28">
        <w:rPr>
          <w:sz w:val="24"/>
          <w:szCs w:val="24"/>
        </w:rPr>
        <w:t>Условия</w:t>
      </w:r>
      <w:r w:rsidRPr="003C4AB6">
        <w:rPr>
          <w:sz w:val="24"/>
          <w:szCs w:val="24"/>
        </w:rPr>
        <w:t>т</w:t>
      </w:r>
      <w:r w:rsidR="00F53AB3">
        <w:rPr>
          <w:sz w:val="24"/>
          <w:szCs w:val="24"/>
        </w:rPr>
        <w:t>а</w:t>
      </w:r>
      <w:r w:rsidRPr="003C4AB6">
        <w:rPr>
          <w:sz w:val="24"/>
          <w:szCs w:val="24"/>
        </w:rPr>
        <w:t xml:space="preserve"> за кандидатстване.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rsidR="00B41C3D" w:rsidRPr="003C4AB6" w:rsidRDefault="00B41C3D" w:rsidP="00B41C3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b/>
          <w:sz w:val="24"/>
          <w:szCs w:val="24"/>
        </w:rPr>
        <w:t>ВАЖНО:</w:t>
      </w:r>
      <w:r w:rsidRPr="003C4AB6">
        <w:rPr>
          <w:sz w:val="24"/>
          <w:szCs w:val="24"/>
        </w:rPr>
        <w:t xml:space="preserve">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64FCC" w:rsidRPr="003C4AB6" w:rsidRDefault="00464FCC" w:rsidP="00652D44">
      <w:pPr>
        <w:pStyle w:val="Heading3"/>
        <w:spacing w:before="360" w:after="120"/>
        <w:rPr>
          <w:sz w:val="24"/>
          <w:szCs w:val="24"/>
        </w:rPr>
      </w:pPr>
      <w:bookmarkStart w:id="17" w:name="_Toc442298720"/>
      <w:r w:rsidRPr="003C4AB6">
        <w:rPr>
          <w:sz w:val="24"/>
          <w:szCs w:val="24"/>
        </w:rPr>
        <w:t>13.2. Недопустими дейности</w:t>
      </w:r>
      <w:bookmarkEnd w:id="17"/>
    </w:p>
    <w:p w:rsidR="00F909CF" w:rsidRPr="003C4AB6" w:rsidRDefault="00F909CF" w:rsidP="005100F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3C4AB6">
        <w:rPr>
          <w:sz w:val="24"/>
          <w:szCs w:val="24"/>
        </w:rPr>
        <w:t>Недопустими по процедур</w:t>
      </w:r>
      <w:r w:rsidR="006148AF" w:rsidRPr="003C4AB6">
        <w:rPr>
          <w:sz w:val="24"/>
          <w:szCs w:val="24"/>
        </w:rPr>
        <w:t>ата са следните видове дейности</w:t>
      </w:r>
      <w:r w:rsidRPr="003C4AB6">
        <w:rPr>
          <w:sz w:val="24"/>
          <w:szCs w:val="24"/>
        </w:rPr>
        <w:t xml:space="preserve">: </w:t>
      </w:r>
    </w:p>
    <w:p w:rsidR="00F909CF" w:rsidRPr="003C4AB6" w:rsidRDefault="00E6340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7C3788">
        <w:rPr>
          <w:sz w:val="24"/>
          <w:szCs w:val="24"/>
        </w:rPr>
        <w:t>•</w:t>
      </w:r>
      <w:r w:rsidR="004C4D98" w:rsidRPr="007C3788">
        <w:rPr>
          <w:sz w:val="24"/>
          <w:szCs w:val="24"/>
        </w:rPr>
        <w:t xml:space="preserve"> </w:t>
      </w:r>
      <w:proofErr w:type="spellStart"/>
      <w:r w:rsidR="00D011A9" w:rsidRPr="00D011A9">
        <w:rPr>
          <w:sz w:val="24"/>
          <w:szCs w:val="24"/>
          <w:lang w:val="en-US"/>
        </w:rPr>
        <w:t>дейности</w:t>
      </w:r>
      <w:proofErr w:type="spellEnd"/>
      <w:r w:rsidR="00D011A9" w:rsidRPr="00D011A9">
        <w:rPr>
          <w:sz w:val="24"/>
          <w:szCs w:val="24"/>
          <w:lang w:val="en-US"/>
        </w:rPr>
        <w:t xml:space="preserve">, </w:t>
      </w:r>
      <w:proofErr w:type="spellStart"/>
      <w:r w:rsidR="00D011A9" w:rsidRPr="00D011A9">
        <w:rPr>
          <w:sz w:val="24"/>
          <w:szCs w:val="24"/>
          <w:lang w:val="en-US"/>
        </w:rPr>
        <w:t>които</w:t>
      </w:r>
      <w:proofErr w:type="spellEnd"/>
      <w:r w:rsidR="00393166">
        <w:rPr>
          <w:sz w:val="24"/>
          <w:szCs w:val="24"/>
        </w:rPr>
        <w:t xml:space="preserve"> </w:t>
      </w:r>
      <w:r w:rsidR="00393166" w:rsidRPr="00393166">
        <w:rPr>
          <w:sz w:val="24"/>
          <w:szCs w:val="24"/>
          <w:lang w:val="x-none"/>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9F7A61" w:rsidRPr="007C3788">
        <w:rPr>
          <w:sz w:val="24"/>
          <w:szCs w:val="24"/>
        </w:rPr>
        <w:t>;</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дейности, изпълнени след крайния срок за изпъ</w:t>
      </w:r>
      <w:r w:rsidR="00710849" w:rsidRPr="003C4AB6">
        <w:rPr>
          <w:sz w:val="24"/>
          <w:szCs w:val="24"/>
        </w:rPr>
        <w:t>лнение на дейностите по проекта</w:t>
      </w:r>
      <w:r w:rsidR="00F909CF" w:rsidRPr="003C4AB6">
        <w:rPr>
          <w:sz w:val="24"/>
          <w:szCs w:val="24"/>
        </w:rPr>
        <w:t>;</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дейности, които вече са финансирани от други публични източници;</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 xml:space="preserve">закупуване на </w:t>
      </w:r>
      <w:r w:rsidR="005F496C" w:rsidRPr="003C4AB6">
        <w:rPr>
          <w:sz w:val="24"/>
          <w:szCs w:val="24"/>
        </w:rPr>
        <w:t>дълготрайни активи</w:t>
      </w:r>
      <w:r w:rsidR="00F909CF" w:rsidRPr="003C4AB6">
        <w:rPr>
          <w:sz w:val="24"/>
          <w:szCs w:val="24"/>
        </w:rPr>
        <w:t xml:space="preserve"> втора употреба</w:t>
      </w:r>
      <w:r w:rsidR="000B7A19" w:rsidRPr="003C4AB6">
        <w:rPr>
          <w:rFonts w:ascii="Calibri" w:eastAsia="Calibri" w:hAnsi="Calibri" w:cs="Times New Roman"/>
          <w:sz w:val="24"/>
          <w:szCs w:val="24"/>
        </w:rPr>
        <w:t xml:space="preserve"> и на дълготрайни активи, които не са заведени за първи път от получателя на помощта (закупени от първи доставчик или производител)</w:t>
      </w:r>
      <w:r w:rsidR="00F909CF" w:rsidRPr="003C4AB6">
        <w:rPr>
          <w:sz w:val="24"/>
          <w:szCs w:val="24"/>
        </w:rPr>
        <w:t>;</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дейности за</w:t>
      </w:r>
      <w:r w:rsidR="000A0264" w:rsidRPr="003C4AB6">
        <w:rPr>
          <w:sz w:val="24"/>
          <w:szCs w:val="24"/>
        </w:rPr>
        <w:t xml:space="preserve"> </w:t>
      </w:r>
      <w:r w:rsidR="00F909CF" w:rsidRPr="003C4AB6">
        <w:rPr>
          <w:sz w:val="24"/>
          <w:szCs w:val="24"/>
        </w:rPr>
        <w:t xml:space="preserve">строително-монтажни работи (СМР); </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 xml:space="preserve">закупуване на </w:t>
      </w:r>
      <w:r w:rsidR="0019304D" w:rsidRPr="003C4AB6">
        <w:rPr>
          <w:sz w:val="24"/>
          <w:szCs w:val="24"/>
        </w:rPr>
        <w:t>машини/съоръжения/оборудване</w:t>
      </w:r>
      <w:r w:rsidR="00CD46DC" w:rsidRPr="003C4AB6">
        <w:rPr>
          <w:sz w:val="24"/>
          <w:szCs w:val="24"/>
        </w:rPr>
        <w:t xml:space="preserve"> и </w:t>
      </w:r>
      <w:r w:rsidR="00750533" w:rsidRPr="003C4AB6">
        <w:rPr>
          <w:sz w:val="24"/>
          <w:szCs w:val="24"/>
        </w:rPr>
        <w:t xml:space="preserve">дълготрайни </w:t>
      </w:r>
      <w:r w:rsidR="00F06C4E" w:rsidRPr="003C4AB6">
        <w:rPr>
          <w:sz w:val="24"/>
          <w:szCs w:val="24"/>
        </w:rPr>
        <w:t>нематериални активи</w:t>
      </w:r>
      <w:r w:rsidR="00F909CF" w:rsidRPr="003C4AB6">
        <w:rPr>
          <w:sz w:val="24"/>
          <w:szCs w:val="24"/>
        </w:rPr>
        <w:t xml:space="preserve">, които не са пряко свързани с постигане на целите на проекта; </w:t>
      </w:r>
    </w:p>
    <w:p w:rsidR="00F909CF"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lastRenderedPageBreak/>
        <w:t xml:space="preserve">• </w:t>
      </w:r>
      <w:r w:rsidR="00F909CF" w:rsidRPr="003C4AB6">
        <w:rPr>
          <w:sz w:val="24"/>
          <w:szCs w:val="24"/>
        </w:rPr>
        <w:t xml:space="preserve">закупуване на компютърно оборудване и софтуер за административни нужди на предприятието (вкл. софтуерни системи за управление – ERP, CRM и други </w:t>
      </w:r>
      <w:r w:rsidR="00CB5589" w:rsidRPr="003C4AB6">
        <w:rPr>
          <w:sz w:val="24"/>
          <w:szCs w:val="24"/>
        </w:rPr>
        <w:t xml:space="preserve">подобни </w:t>
      </w:r>
      <w:r w:rsidR="00F909CF" w:rsidRPr="003C4AB6">
        <w:rPr>
          <w:sz w:val="24"/>
          <w:szCs w:val="24"/>
        </w:rPr>
        <w:t>системи и модули към тях)</w:t>
      </w:r>
      <w:r w:rsidR="009F7A61" w:rsidRPr="003C4AB6">
        <w:rPr>
          <w:sz w:val="24"/>
          <w:szCs w:val="24"/>
        </w:rPr>
        <w:t>;</w:t>
      </w:r>
      <w:r w:rsidR="00F909CF" w:rsidRPr="003C4AB6">
        <w:rPr>
          <w:sz w:val="24"/>
          <w:szCs w:val="24"/>
        </w:rPr>
        <w:t xml:space="preserve"> </w:t>
      </w:r>
    </w:p>
    <w:p w:rsidR="008269D8" w:rsidRPr="003C4AB6" w:rsidRDefault="008269D8" w:rsidP="008269D8">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с изключение на консумативи и материали, необходими за създаване и тестване на прототипи и пилотни линии; </w:t>
      </w:r>
    </w:p>
    <w:p w:rsidR="008269D8" w:rsidRPr="003C4AB6" w:rsidRDefault="008269D8" w:rsidP="008269D8">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закупуване или наемане на транспортни средства и съоръжения;</w:t>
      </w:r>
    </w:p>
    <w:p w:rsidR="003A30AB" w:rsidRPr="003C4AB6" w:rsidRDefault="003A30AB"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консултантски услуги за разработване на проектното предложение;</w:t>
      </w:r>
    </w:p>
    <w:p w:rsidR="00080944" w:rsidRPr="003C4AB6" w:rsidRDefault="00080944" w:rsidP="00080944">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одит на проект</w:t>
      </w:r>
      <w:r w:rsidR="00FA36F6">
        <w:rPr>
          <w:sz w:val="24"/>
          <w:szCs w:val="24"/>
        </w:rPr>
        <w:t>а</w:t>
      </w:r>
      <w:r w:rsidRPr="003C4AB6">
        <w:rPr>
          <w:sz w:val="24"/>
          <w:szCs w:val="24"/>
        </w:rPr>
        <w:t>;</w:t>
      </w:r>
    </w:p>
    <w:p w:rsidR="0048288D" w:rsidRPr="003C4AB6" w:rsidRDefault="0048288D"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консултантски, юридически и счетоводни услуги от общ характер</w:t>
      </w:r>
      <w:r w:rsidR="001D1B45" w:rsidRPr="003C4AB6">
        <w:rPr>
          <w:sz w:val="24"/>
          <w:szCs w:val="24"/>
        </w:rPr>
        <w:t>;</w:t>
      </w:r>
    </w:p>
    <w:p w:rsidR="007243CD" w:rsidRPr="003C4AB6" w:rsidRDefault="001C2052"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411E24" w:rsidRPr="003C4AB6">
        <w:rPr>
          <w:sz w:val="24"/>
          <w:szCs w:val="24"/>
        </w:rPr>
        <w:t>изработване на общи пазарни анализи, проучвания, маркетингови планове</w:t>
      </w:r>
      <w:r w:rsidR="00C46E87" w:rsidRPr="003C4AB6">
        <w:rPr>
          <w:sz w:val="24"/>
          <w:szCs w:val="24"/>
        </w:rPr>
        <w:t>, които не са свързани с</w:t>
      </w:r>
      <w:r w:rsidR="00411E24" w:rsidRPr="003C4AB6">
        <w:rPr>
          <w:sz w:val="24"/>
          <w:szCs w:val="24"/>
        </w:rPr>
        <w:t xml:space="preserve"> пазарна реализация на иновативния продукт или процес;</w:t>
      </w:r>
    </w:p>
    <w:p w:rsidR="007243CD" w:rsidRPr="003C4AB6" w:rsidRDefault="00722D8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F909CF" w:rsidRPr="003C4AB6">
        <w:rPr>
          <w:sz w:val="24"/>
          <w:szCs w:val="24"/>
        </w:rPr>
        <w:t xml:space="preserve">участие в </w:t>
      </w:r>
      <w:r w:rsidR="00232067" w:rsidRPr="003C4AB6">
        <w:rPr>
          <w:sz w:val="24"/>
          <w:szCs w:val="24"/>
        </w:rPr>
        <w:t>събития</w:t>
      </w:r>
      <w:r w:rsidR="00AA1279" w:rsidRPr="003C4AB6">
        <w:rPr>
          <w:sz w:val="24"/>
          <w:szCs w:val="24"/>
        </w:rPr>
        <w:t xml:space="preserve"> (семинари, конференции, работни срещи, изложения и др.)</w:t>
      </w:r>
      <w:r w:rsidR="007243CD" w:rsidRPr="003C4AB6">
        <w:rPr>
          <w:sz w:val="24"/>
          <w:szCs w:val="24"/>
        </w:rPr>
        <w:t>;</w:t>
      </w:r>
    </w:p>
    <w:p w:rsidR="009F48D4" w:rsidRPr="003C4AB6" w:rsidRDefault="009F48D4"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реклама на новите технологии, процеси, продукти/услуги – включително и не само публикуване на обяви в периодични издания, изработка и излъчване на рекламни </w:t>
      </w:r>
      <w:proofErr w:type="spellStart"/>
      <w:r w:rsidRPr="003C4AB6">
        <w:rPr>
          <w:sz w:val="24"/>
          <w:szCs w:val="24"/>
        </w:rPr>
        <w:t>спотове</w:t>
      </w:r>
      <w:proofErr w:type="spellEnd"/>
      <w:r w:rsidRPr="003C4AB6">
        <w:rPr>
          <w:sz w:val="24"/>
          <w:szCs w:val="24"/>
        </w:rPr>
        <w:t xml:space="preserve"> (радио и телевизионни)</w:t>
      </w:r>
      <w:r w:rsidR="0069480E" w:rsidRPr="0069480E">
        <w:rPr>
          <w:rFonts w:ascii="Calibri" w:eastAsia="Calibri" w:hAnsi="Calibri" w:cs="Times New Roman"/>
          <w:sz w:val="24"/>
          <w:szCs w:val="24"/>
        </w:rPr>
        <w:t xml:space="preserve"> и др.</w:t>
      </w:r>
      <w:r w:rsidR="0069480E">
        <w:rPr>
          <w:rFonts w:ascii="Calibri" w:eastAsia="Calibri" w:hAnsi="Calibri" w:cs="Times New Roman"/>
          <w:sz w:val="24"/>
          <w:szCs w:val="24"/>
        </w:rPr>
        <w:t>,</w:t>
      </w:r>
      <w:r w:rsidR="0069480E" w:rsidRPr="0069480E">
        <w:rPr>
          <w:rFonts w:ascii="Calibri" w:eastAsia="Calibri" w:hAnsi="Calibri" w:cs="Times New Roman"/>
          <w:sz w:val="24"/>
          <w:szCs w:val="24"/>
        </w:rPr>
        <w:t xml:space="preserve"> различни от тези, които бенефициентите могат да прилагат при изпълнение на проекти, финансирани от ЕСИФ и посочени в „Единния наръчник на бенефициента за прилагане на правилата за информация и комуникация" 2014-2020</w:t>
      </w:r>
      <w:r w:rsidRPr="003C4AB6">
        <w:rPr>
          <w:sz w:val="24"/>
          <w:szCs w:val="24"/>
        </w:rPr>
        <w:t>;</w:t>
      </w:r>
    </w:p>
    <w:p w:rsidR="00F567EB" w:rsidRPr="003C4AB6" w:rsidRDefault="00F567EB" w:rsidP="005E0FB1">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3C4AB6">
        <w:rPr>
          <w:sz w:val="24"/>
          <w:szCs w:val="24"/>
        </w:rPr>
        <w:t xml:space="preserve">• </w:t>
      </w:r>
      <w:r w:rsidR="005F512E" w:rsidRPr="003C4AB6">
        <w:rPr>
          <w:sz w:val="24"/>
          <w:szCs w:val="24"/>
        </w:rPr>
        <w:t>придобиване</w:t>
      </w:r>
      <w:r w:rsidRPr="003C4AB6">
        <w:rPr>
          <w:sz w:val="24"/>
          <w:szCs w:val="24"/>
        </w:rPr>
        <w:t xml:space="preserve"> на товарни автомобили за сухопътен транспорт.</w:t>
      </w:r>
    </w:p>
    <w:p w:rsidR="002A3655" w:rsidRPr="003C4AB6" w:rsidRDefault="00CB14EE" w:rsidP="0049599F">
      <w:pPr>
        <w:pStyle w:val="Heading2"/>
        <w:spacing w:before="360" w:after="120"/>
      </w:pPr>
      <w:bookmarkStart w:id="18" w:name="_Toc442298721"/>
      <w:r w:rsidRPr="003C4AB6">
        <w:t>1</w:t>
      </w:r>
      <w:r w:rsidR="004A58E5" w:rsidRPr="003C4AB6">
        <w:t>4</w:t>
      </w:r>
      <w:r w:rsidR="002325A3" w:rsidRPr="003C4AB6">
        <w:t xml:space="preserve">. </w:t>
      </w:r>
      <w:r w:rsidR="003D562F" w:rsidRPr="003C4AB6">
        <w:t>Категории р</w:t>
      </w:r>
      <w:r w:rsidR="002325A3" w:rsidRPr="003C4AB6">
        <w:t>азходи, допустими за финансиране</w:t>
      </w:r>
      <w:r w:rsidR="002A3655" w:rsidRPr="003C4AB6">
        <w:t>:</w:t>
      </w:r>
      <w:bookmarkEnd w:id="18"/>
    </w:p>
    <w:p w:rsidR="00D346BF" w:rsidRPr="003C4AB6" w:rsidRDefault="002A3655"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3C4AB6">
        <w:rPr>
          <w:sz w:val="24"/>
          <w:szCs w:val="24"/>
        </w:rPr>
        <w:t>П</w:t>
      </w:r>
      <w:r w:rsidR="009D5D22" w:rsidRPr="003C4AB6">
        <w:rPr>
          <w:sz w:val="24"/>
          <w:szCs w:val="24"/>
        </w:rPr>
        <w:t>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w:t>
      </w:r>
      <w:r w:rsidR="00E97596" w:rsidRPr="003C4AB6">
        <w:rPr>
          <w:sz w:val="24"/>
          <w:szCs w:val="24"/>
        </w:rPr>
        <w:t xml:space="preserve"> (т. 5 от Формуляра за кандидатстване)</w:t>
      </w:r>
      <w:r w:rsidR="009D5D22" w:rsidRPr="003C4AB6">
        <w:rPr>
          <w:sz w:val="24"/>
          <w:szCs w:val="24"/>
        </w:rPr>
        <w:t xml:space="preserve"> представлява предварителна оценка на очакваните разходи и трябва точно да отговаря на стойността, посочена в проекта. Бюджетът представлява, както предварителна оценка на очакваните разходи, така и максимален размер на допустимите разходи. </w:t>
      </w:r>
    </w:p>
    <w:p w:rsidR="00EB519A" w:rsidRPr="003C4AB6" w:rsidRDefault="009D5D22"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По време на оценката на проектните предложения е възможно да бъдат установени обстоятелства, които да налагат промяна в бюджета</w:t>
      </w:r>
      <w:r w:rsidR="00EB519A" w:rsidRPr="003C4AB6">
        <w:rPr>
          <w:sz w:val="24"/>
          <w:szCs w:val="24"/>
        </w:rPr>
        <w:t xml:space="preserve">. </w:t>
      </w:r>
      <w:r w:rsidRPr="003C4AB6">
        <w:rPr>
          <w:sz w:val="24"/>
          <w:szCs w:val="24"/>
        </w:rPr>
        <w:t xml:space="preserve">Възможните изменения на бюджета </w:t>
      </w:r>
      <w:r w:rsidRPr="003C4AB6">
        <w:rPr>
          <w:b/>
          <w:sz w:val="24"/>
          <w:szCs w:val="24"/>
        </w:rPr>
        <w:t>не могат</w:t>
      </w:r>
      <w:r w:rsidRPr="003C4AB6">
        <w:rPr>
          <w:sz w:val="24"/>
          <w:szCs w:val="24"/>
        </w:rPr>
        <w:t xml:space="preserve"> да доведат до увеличаване на сумата на исканата безвъзмездна</w:t>
      </w:r>
      <w:r w:rsidR="00ED36F7" w:rsidRPr="003C4AB6">
        <w:rPr>
          <w:sz w:val="24"/>
          <w:szCs w:val="24"/>
        </w:rPr>
        <w:t xml:space="preserve"> помощ по настоящата процедура.</w:t>
      </w:r>
    </w:p>
    <w:p w:rsidR="00EB519A" w:rsidRPr="003C4AB6" w:rsidRDefault="00EB519A" w:rsidP="00EB51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b/>
          <w:sz w:val="24"/>
          <w:szCs w:val="24"/>
        </w:rPr>
        <w:lastRenderedPageBreak/>
        <w:t>ВАЖНО:</w:t>
      </w:r>
      <w:r w:rsidRPr="003C4AB6">
        <w:rPr>
          <w:sz w:val="24"/>
          <w:szCs w:val="24"/>
        </w:rPr>
        <w:t xml:space="preserve"> Във връзка със спазването на принципа за недопускане под никаква форма на реализиране на печалба от безвъзмездните финансови средства</w:t>
      </w:r>
      <w:r w:rsidR="00291818" w:rsidRPr="003C4AB6">
        <w:rPr>
          <w:sz w:val="24"/>
          <w:szCs w:val="24"/>
        </w:rPr>
        <w:t>,</w:t>
      </w:r>
      <w:r w:rsidRPr="003C4AB6">
        <w:rPr>
          <w:sz w:val="24"/>
          <w:szCs w:val="24"/>
        </w:rPr>
        <w:t xml:space="preserve"> </w:t>
      </w:r>
      <w:r w:rsidR="00D721FC" w:rsidRPr="003C4AB6">
        <w:rPr>
          <w:sz w:val="24"/>
          <w:szCs w:val="24"/>
        </w:rPr>
        <w:t xml:space="preserve">печалбата </w:t>
      </w:r>
      <w:r w:rsidRPr="003C4AB6">
        <w:rPr>
          <w:sz w:val="24"/>
          <w:szCs w:val="24"/>
        </w:rPr>
        <w:t>подлеж</w:t>
      </w:r>
      <w:r w:rsidR="00D721FC" w:rsidRPr="003C4AB6">
        <w:rPr>
          <w:sz w:val="24"/>
          <w:szCs w:val="24"/>
        </w:rPr>
        <w:t>и</w:t>
      </w:r>
      <w:r w:rsidRPr="003C4AB6">
        <w:rPr>
          <w:sz w:val="24"/>
          <w:szCs w:val="24"/>
        </w:rPr>
        <w:t xml:space="preserve"> на възстановяване</w:t>
      </w:r>
      <w:r w:rsidR="00291818" w:rsidRPr="003C4AB6">
        <w:rPr>
          <w:rStyle w:val="FootnoteReference"/>
          <w:sz w:val="24"/>
          <w:szCs w:val="24"/>
        </w:rPr>
        <w:footnoteReference w:id="10"/>
      </w:r>
      <w:r w:rsidRPr="003C4AB6">
        <w:rPr>
          <w:sz w:val="24"/>
          <w:szCs w:val="24"/>
        </w:rPr>
        <w:t>.</w:t>
      </w:r>
    </w:p>
    <w:p w:rsidR="000B2C34" w:rsidRPr="003C4AB6" w:rsidRDefault="000B2C34" w:rsidP="00DC14A3">
      <w:pPr>
        <w:pStyle w:val="Heading3"/>
        <w:spacing w:before="120" w:after="120"/>
        <w:rPr>
          <w:sz w:val="24"/>
          <w:szCs w:val="24"/>
        </w:rPr>
      </w:pPr>
      <w:bookmarkStart w:id="19" w:name="_Toc442298722"/>
      <w:r w:rsidRPr="003C4AB6">
        <w:rPr>
          <w:sz w:val="24"/>
          <w:szCs w:val="24"/>
        </w:rPr>
        <w:t>14.1. Условия за допустимост на разходите</w:t>
      </w:r>
      <w:bookmarkEnd w:id="19"/>
    </w:p>
    <w:p w:rsidR="000B2C34" w:rsidRPr="003C4AB6" w:rsidRDefault="000B2C34" w:rsidP="002D59E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За да бъдат допустими разходите по настоящата процедура за предоставяне на безвъзмездна финансова помощ</w:t>
      </w:r>
      <w:r w:rsidR="0093319A" w:rsidRPr="003C4AB6">
        <w:rPr>
          <w:sz w:val="24"/>
          <w:szCs w:val="24"/>
        </w:rPr>
        <w:t xml:space="preserve"> </w:t>
      </w:r>
      <w:r w:rsidRPr="003C4AB6">
        <w:rPr>
          <w:sz w:val="24"/>
          <w:szCs w:val="24"/>
        </w:rPr>
        <w:t>трябва да отговарят на следните условия:</w:t>
      </w:r>
    </w:p>
    <w:p w:rsidR="00AA4ADF" w:rsidRPr="003C4AB6" w:rsidRDefault="004D4D81"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1/</w:t>
      </w:r>
      <w:r w:rsidR="00AA4ADF" w:rsidRPr="003C4AB6">
        <w:rPr>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rsidR="00AA4ADF" w:rsidRPr="003C4AB6" w:rsidRDefault="00AA4ADF"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Разход, който не е обоснован в </w:t>
      </w:r>
      <w:r w:rsidR="00421B5B" w:rsidRPr="003C4AB6">
        <w:rPr>
          <w:sz w:val="24"/>
          <w:szCs w:val="24"/>
        </w:rPr>
        <w:t>т.</w:t>
      </w:r>
      <w:r w:rsidR="006A53FA" w:rsidRPr="003C4AB6">
        <w:rPr>
          <w:sz w:val="24"/>
          <w:szCs w:val="24"/>
        </w:rPr>
        <w:t xml:space="preserve"> </w:t>
      </w:r>
      <w:r w:rsidR="00421B5B" w:rsidRPr="003C4AB6">
        <w:rPr>
          <w:sz w:val="24"/>
          <w:szCs w:val="24"/>
        </w:rPr>
        <w:t xml:space="preserve">7 </w:t>
      </w:r>
      <w:r w:rsidR="00E41890" w:rsidRPr="003C4AB6">
        <w:rPr>
          <w:sz w:val="24"/>
          <w:szCs w:val="24"/>
        </w:rPr>
        <w:t xml:space="preserve">и т. 11 </w:t>
      </w:r>
      <w:r w:rsidRPr="003C4AB6">
        <w:rPr>
          <w:sz w:val="24"/>
          <w:szCs w:val="24"/>
        </w:rPr>
        <w:t>на Формуляра за кандидатстване</w:t>
      </w:r>
      <w:r w:rsidRPr="003C4AB6">
        <w:rPr>
          <w:b/>
          <w:sz w:val="24"/>
          <w:szCs w:val="24"/>
        </w:rPr>
        <w:t xml:space="preserve"> </w:t>
      </w:r>
      <w:r w:rsidRPr="003C4AB6">
        <w:rPr>
          <w:sz w:val="24"/>
          <w:szCs w:val="24"/>
        </w:rPr>
        <w:t>ще бъде премахнат от бюджета на проекта</w:t>
      </w:r>
      <w:r w:rsidR="00E97596" w:rsidRPr="003C4AB6">
        <w:rPr>
          <w:sz w:val="24"/>
          <w:szCs w:val="24"/>
        </w:rPr>
        <w:t xml:space="preserve"> (т. 5 от Формуляра за кандидатстване)</w:t>
      </w:r>
      <w:r w:rsidRPr="003C4AB6">
        <w:rPr>
          <w:sz w:val="24"/>
          <w:szCs w:val="24"/>
        </w:rPr>
        <w:t xml:space="preserve"> служебно от оценителната комисия.</w:t>
      </w:r>
    </w:p>
    <w:p w:rsidR="00AA4ADF" w:rsidRPr="003C4AB6" w:rsidRDefault="00AA4ADF"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С оглед определяне на реалистичността на предвидените разходи за закупуване на активи, кандидатът следва да приложи към Формуляра за кандидатстване </w:t>
      </w:r>
      <w:r w:rsidRPr="003C4AB6">
        <w:rPr>
          <w:i/>
          <w:sz w:val="24"/>
          <w:szCs w:val="24"/>
        </w:rPr>
        <w:t>оферта и/или извлечение от каталог на производители/ доставчици и/или проучване в интернет</w:t>
      </w:r>
      <w:r w:rsidRPr="003C4AB6">
        <w:rPr>
          <w:sz w:val="24"/>
          <w:szCs w:val="24"/>
        </w:rPr>
        <w:t xml:space="preserve"> за всяка отделна инвестиция в активи.</w:t>
      </w:r>
      <w:r w:rsidR="009C5639" w:rsidRPr="003C4AB6">
        <w:rPr>
          <w:sz w:val="24"/>
          <w:szCs w:val="24"/>
        </w:rPr>
        <w:t xml:space="preserve"> </w:t>
      </w:r>
      <w:r w:rsidRPr="003C4AB6">
        <w:rPr>
          <w:sz w:val="24"/>
          <w:szCs w:val="24"/>
        </w:rPr>
        <w:t xml:space="preserve">В случаите, когато кандидатът </w:t>
      </w:r>
      <w:r w:rsidR="00605A53" w:rsidRPr="003C4AB6">
        <w:rPr>
          <w:sz w:val="24"/>
          <w:szCs w:val="24"/>
        </w:rPr>
        <w:t xml:space="preserve">(и след допълнително изискване) </w:t>
      </w:r>
      <w:r w:rsidRPr="003C4AB6">
        <w:rPr>
          <w:sz w:val="24"/>
          <w:szCs w:val="24"/>
        </w:rPr>
        <w:t>не е представил</w:t>
      </w:r>
      <w:r w:rsidR="00C405EF" w:rsidRPr="003C4AB6">
        <w:rPr>
          <w:sz w:val="24"/>
          <w:szCs w:val="24"/>
        </w:rPr>
        <w:t>/не е представил в изискуемия вид</w:t>
      </w:r>
      <w:r w:rsidRPr="003C4AB6">
        <w:rPr>
          <w:sz w:val="24"/>
          <w:szCs w:val="24"/>
        </w:rPr>
        <w:t xml:space="preserve"> оферта и/или извлечение от каталог на производител/ доставчик и/или проучване в интернет за всяка отделна инвестиция в активи, съответният разход ще бъде премахнат от бюджета на проекта служебно от оценителната комисия.</w:t>
      </w:r>
    </w:p>
    <w:p w:rsidR="00286E0F" w:rsidRPr="00F35404" w:rsidRDefault="00491A1C" w:rsidP="00286E0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Cs/>
          <w:sz w:val="24"/>
          <w:szCs w:val="24"/>
        </w:rPr>
      </w:pPr>
      <w:r w:rsidRPr="003C4AB6">
        <w:rPr>
          <w:rFonts w:ascii="Calibri" w:eastAsia="Calibri" w:hAnsi="Calibri" w:cs="Times New Roman"/>
          <w:sz w:val="24"/>
          <w:szCs w:val="24"/>
        </w:rPr>
        <w:t xml:space="preserve">Горепосочените документи са индикативни и служат за оценка на реалистичността на заложените в </w:t>
      </w:r>
      <w:r w:rsidR="0082066C" w:rsidRPr="003C4AB6">
        <w:rPr>
          <w:rFonts w:ascii="Calibri" w:eastAsia="Calibri" w:hAnsi="Calibri" w:cs="Times New Roman"/>
          <w:sz w:val="24"/>
          <w:szCs w:val="24"/>
        </w:rPr>
        <w:t>б</w:t>
      </w:r>
      <w:r w:rsidRPr="003C4AB6">
        <w:rPr>
          <w:rFonts w:ascii="Calibri" w:eastAsia="Calibri" w:hAnsi="Calibri" w:cs="Times New Roman"/>
          <w:sz w:val="24"/>
          <w:szCs w:val="24"/>
        </w:rPr>
        <w:t>юджета на проектното предложение</w:t>
      </w:r>
      <w:r w:rsidR="0082066C" w:rsidRPr="003C4AB6">
        <w:rPr>
          <w:rFonts w:ascii="Calibri" w:eastAsia="Calibri" w:hAnsi="Calibri" w:cs="Times New Roman"/>
          <w:sz w:val="24"/>
          <w:szCs w:val="24"/>
        </w:rPr>
        <w:t xml:space="preserve"> (т. 5 от Формуляра за кандидатстване)</w:t>
      </w:r>
      <w:r w:rsidRPr="003C4AB6">
        <w:rPr>
          <w:rFonts w:ascii="Calibri" w:eastAsia="Calibri" w:hAnsi="Calibri" w:cs="Times New Roman"/>
          <w:sz w:val="24"/>
          <w:szCs w:val="24"/>
        </w:rPr>
        <w:t xml:space="preserve"> разходи за съответните активи. По тази причина, в </w:t>
      </w:r>
      <w:r w:rsidR="00E90F91" w:rsidRPr="003C4AB6">
        <w:rPr>
          <w:rFonts w:ascii="Calibri" w:eastAsia="Calibri" w:hAnsi="Calibri" w:cs="Times New Roman"/>
          <w:sz w:val="24"/>
          <w:szCs w:val="24"/>
        </w:rPr>
        <w:t>Приложени</w:t>
      </w:r>
      <w:r w:rsidR="004D0A0C" w:rsidRPr="003C4AB6">
        <w:rPr>
          <w:rFonts w:ascii="Calibri" w:eastAsia="Calibri" w:hAnsi="Calibri" w:cs="Times New Roman"/>
          <w:sz w:val="24"/>
          <w:szCs w:val="24"/>
        </w:rPr>
        <w:t xml:space="preserve">е </w:t>
      </w:r>
      <w:r w:rsidR="00B03388" w:rsidRPr="003C4AB6">
        <w:rPr>
          <w:rFonts w:ascii="Calibri" w:eastAsia="Calibri" w:hAnsi="Calibri" w:cs="Times New Roman"/>
          <w:sz w:val="24"/>
          <w:szCs w:val="24"/>
        </w:rPr>
        <w:t xml:space="preserve">Ж </w:t>
      </w:r>
      <w:r w:rsidRPr="003C4AB6">
        <w:rPr>
          <w:rFonts w:ascii="Calibri" w:eastAsia="Calibri" w:hAnsi="Calibri" w:cs="Times New Roman"/>
          <w:sz w:val="24"/>
          <w:szCs w:val="24"/>
        </w:rPr>
        <w:t>кандидатите следва да посочат минимални технически</w:t>
      </w:r>
      <w:r w:rsidR="0012267F" w:rsidRPr="003C4AB6">
        <w:rPr>
          <w:rFonts w:ascii="Calibri" w:eastAsia="Calibri" w:hAnsi="Calibri" w:cs="Times New Roman"/>
          <w:sz w:val="24"/>
          <w:szCs w:val="24"/>
        </w:rPr>
        <w:t xml:space="preserve"> и</w:t>
      </w:r>
      <w:r w:rsidR="00B545CD" w:rsidRPr="003C4AB6">
        <w:rPr>
          <w:rFonts w:ascii="Calibri" w:eastAsia="Calibri" w:hAnsi="Calibri" w:cs="Times New Roman"/>
          <w:sz w:val="24"/>
          <w:szCs w:val="24"/>
          <w:lang w:val="en-US"/>
        </w:rPr>
        <w:t>/</w:t>
      </w:r>
      <w:r w:rsidR="00B545CD" w:rsidRPr="003C4AB6">
        <w:rPr>
          <w:rFonts w:ascii="Calibri" w:eastAsia="Calibri" w:hAnsi="Calibri" w:cs="Times New Roman"/>
          <w:sz w:val="24"/>
          <w:szCs w:val="24"/>
        </w:rPr>
        <w:t>или</w:t>
      </w:r>
      <w:r w:rsidR="0012267F" w:rsidRPr="003C4AB6">
        <w:rPr>
          <w:rFonts w:ascii="Calibri" w:eastAsia="Calibri" w:hAnsi="Calibri" w:cs="Times New Roman"/>
          <w:sz w:val="24"/>
          <w:szCs w:val="24"/>
        </w:rPr>
        <w:t xml:space="preserve"> </w:t>
      </w:r>
      <w:r w:rsidRPr="003C4AB6">
        <w:rPr>
          <w:rFonts w:ascii="Calibri" w:eastAsia="Calibri" w:hAnsi="Calibri" w:cs="Times New Roman"/>
          <w:sz w:val="24"/>
          <w:szCs w:val="24"/>
        </w:rPr>
        <w:t xml:space="preserve">функционални характеристики на предвидените за закупуване дълготрайни материални и нематериални активи, без да указват марки, модели и други конкретни технически спецификации, които насочват към определени производители, марки и модели. </w:t>
      </w:r>
      <w:r w:rsidR="00126867" w:rsidRPr="003C4AB6">
        <w:rPr>
          <w:rFonts w:ascii="Calibri" w:eastAsia="Calibri" w:hAnsi="Calibri" w:cs="Times New Roman"/>
          <w:sz w:val="24"/>
          <w:szCs w:val="24"/>
        </w:rPr>
        <w:t>В случаите, когато кандидатът не е посочил минимални технически</w:t>
      </w:r>
      <w:r w:rsidR="0012267F" w:rsidRPr="003C4AB6">
        <w:rPr>
          <w:rFonts w:ascii="Calibri" w:eastAsia="Calibri" w:hAnsi="Calibri" w:cs="Times New Roman"/>
          <w:sz w:val="24"/>
          <w:szCs w:val="24"/>
        </w:rPr>
        <w:t xml:space="preserve"> и</w:t>
      </w:r>
      <w:r w:rsidR="007D6889" w:rsidRPr="003C4AB6">
        <w:rPr>
          <w:rFonts w:ascii="Calibri" w:eastAsia="Calibri" w:hAnsi="Calibri" w:cs="Times New Roman"/>
          <w:sz w:val="24"/>
          <w:szCs w:val="24"/>
        </w:rPr>
        <w:t>/или</w:t>
      </w:r>
      <w:r w:rsidR="0012267F" w:rsidRPr="003C4AB6">
        <w:rPr>
          <w:rFonts w:ascii="Calibri" w:eastAsia="Calibri" w:hAnsi="Calibri" w:cs="Times New Roman"/>
          <w:sz w:val="24"/>
          <w:szCs w:val="24"/>
        </w:rPr>
        <w:t xml:space="preserve"> </w:t>
      </w:r>
      <w:r w:rsidR="00126867" w:rsidRPr="003C4AB6">
        <w:rPr>
          <w:rFonts w:ascii="Calibri" w:eastAsia="Calibri" w:hAnsi="Calibri" w:cs="Times New Roman"/>
          <w:sz w:val="24"/>
          <w:szCs w:val="24"/>
        </w:rPr>
        <w:t>функционални характеристики на предвидените за закупуване дълготрайни материални и нематериални активи</w:t>
      </w:r>
      <w:r w:rsidR="00231106" w:rsidRPr="003C4AB6">
        <w:rPr>
          <w:rFonts w:ascii="Calibri" w:eastAsia="Calibri" w:hAnsi="Calibri" w:cs="Times New Roman"/>
          <w:sz w:val="24"/>
          <w:szCs w:val="24"/>
        </w:rPr>
        <w:t xml:space="preserve"> или те не съответстват на посочените в </w:t>
      </w:r>
      <w:r w:rsidR="00231106" w:rsidRPr="003C4AB6">
        <w:rPr>
          <w:rFonts w:ascii="Calibri" w:eastAsia="Calibri" w:hAnsi="Calibri" w:cs="Times New Roman"/>
          <w:i/>
          <w:sz w:val="24"/>
          <w:szCs w:val="24"/>
        </w:rPr>
        <w:t>офертата и/или извлечението от каталог на производители/доставчици и/или проучването в интернет</w:t>
      </w:r>
      <w:r w:rsidR="00126867" w:rsidRPr="003C4AB6">
        <w:rPr>
          <w:rFonts w:ascii="Calibri" w:eastAsia="Calibri" w:hAnsi="Calibri" w:cs="Times New Roman"/>
          <w:sz w:val="24"/>
          <w:szCs w:val="24"/>
        </w:rPr>
        <w:t xml:space="preserve">, съответният разход ще бъде премахнат от </w:t>
      </w:r>
      <w:r w:rsidR="00285FEB" w:rsidRPr="003C4AB6">
        <w:rPr>
          <w:rFonts w:ascii="Calibri" w:eastAsia="Calibri" w:hAnsi="Calibri" w:cs="Times New Roman"/>
          <w:sz w:val="24"/>
          <w:szCs w:val="24"/>
        </w:rPr>
        <w:t>бю</w:t>
      </w:r>
      <w:r w:rsidR="00285FEB" w:rsidRPr="00F35404">
        <w:rPr>
          <w:rFonts w:ascii="Calibri" w:eastAsia="Calibri" w:hAnsi="Calibri" w:cs="Times New Roman"/>
          <w:sz w:val="24"/>
          <w:szCs w:val="24"/>
        </w:rPr>
        <w:t>джета на проекта</w:t>
      </w:r>
      <w:r w:rsidR="0082066C" w:rsidRPr="00F35404">
        <w:rPr>
          <w:rFonts w:ascii="Calibri" w:eastAsia="Calibri" w:hAnsi="Calibri" w:cs="Times New Roman"/>
          <w:sz w:val="24"/>
          <w:szCs w:val="24"/>
        </w:rPr>
        <w:t xml:space="preserve"> </w:t>
      </w:r>
      <w:r w:rsidR="0082066C" w:rsidRPr="00F35404">
        <w:rPr>
          <w:sz w:val="24"/>
          <w:szCs w:val="24"/>
        </w:rPr>
        <w:t>(т. 5 от Формуляра за кандидатстване)</w:t>
      </w:r>
      <w:r w:rsidR="00285FEB" w:rsidRPr="00F35404">
        <w:rPr>
          <w:rFonts w:ascii="Calibri" w:eastAsia="Calibri" w:hAnsi="Calibri" w:cs="Times New Roman"/>
          <w:sz w:val="24"/>
          <w:szCs w:val="24"/>
        </w:rPr>
        <w:t xml:space="preserve"> служебно от О</w:t>
      </w:r>
      <w:r w:rsidR="00126867" w:rsidRPr="00F35404">
        <w:rPr>
          <w:rFonts w:ascii="Calibri" w:eastAsia="Calibri" w:hAnsi="Calibri" w:cs="Times New Roman"/>
          <w:sz w:val="24"/>
          <w:szCs w:val="24"/>
        </w:rPr>
        <w:t>ценителната комисия.</w:t>
      </w:r>
      <w:r w:rsidR="00286E0F" w:rsidRPr="00F35404">
        <w:rPr>
          <w:rFonts w:ascii="Times New Roman" w:eastAsia="Times New Roman" w:hAnsi="Times New Roman" w:cs="Times New Roman"/>
          <w:bCs/>
          <w:lang w:eastAsia="pl-PL"/>
        </w:rPr>
        <w:t xml:space="preserve"> </w:t>
      </w:r>
      <w:r w:rsidR="00286E0F" w:rsidRPr="00F35404">
        <w:rPr>
          <w:rFonts w:ascii="Calibri" w:eastAsia="Calibri" w:hAnsi="Calibri" w:cs="Times New Roman"/>
          <w:bCs/>
          <w:sz w:val="24"/>
          <w:szCs w:val="24"/>
        </w:rPr>
        <w:t xml:space="preserve">В случаите, когато Оценителната комисия премахне всички разходи от бюджета на проекта, поради  непредставяне на оферта и/или извлечение от каталог на производител/ доставчик и/или проучване </w:t>
      </w:r>
      <w:r w:rsidR="00622D9E">
        <w:rPr>
          <w:rFonts w:ascii="Calibri" w:eastAsia="Calibri" w:hAnsi="Calibri" w:cs="Times New Roman"/>
          <w:bCs/>
          <w:sz w:val="24"/>
          <w:szCs w:val="24"/>
        </w:rPr>
        <w:t>в интернет, недопустими разходи</w:t>
      </w:r>
      <w:r w:rsidR="00286E0F" w:rsidRPr="00F35404">
        <w:rPr>
          <w:rFonts w:ascii="Calibri" w:eastAsia="Calibri" w:hAnsi="Calibri" w:cs="Times New Roman"/>
          <w:bCs/>
          <w:sz w:val="24"/>
          <w:szCs w:val="24"/>
        </w:rPr>
        <w:t xml:space="preserve"> или непосочване или несъответствие с минимални технически и</w:t>
      </w:r>
      <w:r w:rsidR="00C437F3" w:rsidRPr="00F35404">
        <w:rPr>
          <w:rFonts w:ascii="Calibri" w:eastAsia="Calibri" w:hAnsi="Calibri" w:cs="Times New Roman"/>
          <w:bCs/>
          <w:sz w:val="24"/>
          <w:szCs w:val="24"/>
        </w:rPr>
        <w:t>/или</w:t>
      </w:r>
      <w:r w:rsidR="00286E0F" w:rsidRPr="00F35404">
        <w:rPr>
          <w:rFonts w:ascii="Calibri" w:eastAsia="Calibri" w:hAnsi="Calibri" w:cs="Times New Roman"/>
          <w:bCs/>
          <w:sz w:val="24"/>
          <w:szCs w:val="24"/>
        </w:rPr>
        <w:t xml:space="preserve"> функционални характеристики, проектното предложение се отхвърля.</w:t>
      </w:r>
    </w:p>
    <w:p w:rsidR="003A6B30" w:rsidRPr="003C4AB6" w:rsidRDefault="00AA4ADF" w:rsidP="003A6B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5404">
        <w:rPr>
          <w:sz w:val="24"/>
          <w:szCs w:val="24"/>
        </w:rPr>
        <w:lastRenderedPageBreak/>
        <w:t>Заложените разходи</w:t>
      </w:r>
      <w:r w:rsidRPr="003C4AB6">
        <w:rPr>
          <w:sz w:val="24"/>
          <w:szCs w:val="24"/>
        </w:rPr>
        <w:t xml:space="preserve"> следва да съответстват на представените пазарни цени, като е допустимо увеличение до 10 % от стойността на представената оферта и/или извлече</w:t>
      </w:r>
      <w:r w:rsidR="00B678F2" w:rsidRPr="003C4AB6">
        <w:rPr>
          <w:sz w:val="24"/>
          <w:szCs w:val="24"/>
        </w:rPr>
        <w:t>ние от каталог на производител/</w:t>
      </w:r>
      <w:r w:rsidRPr="003C4AB6">
        <w:rPr>
          <w:sz w:val="24"/>
          <w:szCs w:val="24"/>
        </w:rPr>
        <w:t xml:space="preserve">доставчик и/или проучване в интернет. </w:t>
      </w:r>
      <w:r w:rsidR="00107950" w:rsidRPr="003C4AB6">
        <w:rPr>
          <w:sz w:val="24"/>
          <w:szCs w:val="24"/>
        </w:rPr>
        <w:t>При проверка на съответствието на цени в чуждестранна валута, ще се взима предвид курсът на</w:t>
      </w:r>
      <w:r w:rsidR="003A6B30" w:rsidRPr="003C4AB6">
        <w:rPr>
          <w:sz w:val="24"/>
          <w:szCs w:val="24"/>
        </w:rPr>
        <w:t xml:space="preserve"> БНБ към  </w:t>
      </w:r>
      <w:r w:rsidR="003A6B30" w:rsidRPr="008C1621">
        <w:rPr>
          <w:sz w:val="24"/>
          <w:szCs w:val="24"/>
        </w:rPr>
        <w:t xml:space="preserve">дата </w:t>
      </w:r>
      <w:r w:rsidR="00FB5A67" w:rsidRPr="008C1621">
        <w:rPr>
          <w:sz w:val="24"/>
          <w:szCs w:val="24"/>
        </w:rPr>
        <w:t>04</w:t>
      </w:r>
      <w:r w:rsidR="006F793F" w:rsidRPr="008C1621">
        <w:rPr>
          <w:sz w:val="24"/>
          <w:szCs w:val="24"/>
        </w:rPr>
        <w:t>.</w:t>
      </w:r>
      <w:r w:rsidR="00FA36F6" w:rsidRPr="008C1621">
        <w:rPr>
          <w:sz w:val="24"/>
          <w:szCs w:val="24"/>
        </w:rPr>
        <w:t>0</w:t>
      </w:r>
      <w:r w:rsidR="001A559B" w:rsidRPr="008C1621">
        <w:rPr>
          <w:sz w:val="24"/>
          <w:szCs w:val="24"/>
        </w:rPr>
        <w:t>2</w:t>
      </w:r>
      <w:r w:rsidR="003A6B30" w:rsidRPr="008C1621">
        <w:rPr>
          <w:sz w:val="24"/>
          <w:szCs w:val="24"/>
        </w:rPr>
        <w:t>.201</w:t>
      </w:r>
      <w:r w:rsidR="00FA36F6" w:rsidRPr="008C1621">
        <w:rPr>
          <w:sz w:val="24"/>
          <w:szCs w:val="24"/>
        </w:rPr>
        <w:t>6</w:t>
      </w:r>
      <w:r w:rsidR="003A6B30" w:rsidRPr="008C1621">
        <w:rPr>
          <w:sz w:val="24"/>
          <w:szCs w:val="24"/>
        </w:rPr>
        <w:t xml:space="preserve"> г.</w:t>
      </w:r>
      <w:r w:rsidR="006F793F" w:rsidRPr="008C1621">
        <w:rPr>
          <w:sz w:val="24"/>
          <w:szCs w:val="24"/>
        </w:rPr>
        <w:t xml:space="preserve"> (датата на обявяване на процедурата).</w:t>
      </w:r>
    </w:p>
    <w:p w:rsidR="00AA4ADF" w:rsidRPr="003C4AB6" w:rsidRDefault="00AA4ADF" w:rsidP="003A6B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Оценката на допустимостта на разходите за дълготрайни материални и нематериални активи, посочени в </w:t>
      </w:r>
      <w:r w:rsidR="00C742D8" w:rsidRPr="003C4AB6">
        <w:rPr>
          <w:sz w:val="24"/>
          <w:szCs w:val="24"/>
        </w:rPr>
        <w:t>б</w:t>
      </w:r>
      <w:r w:rsidRPr="003C4AB6">
        <w:rPr>
          <w:sz w:val="24"/>
          <w:szCs w:val="24"/>
        </w:rPr>
        <w:t xml:space="preserve">юджета на проектните предложения </w:t>
      </w:r>
      <w:r w:rsidR="00C742D8" w:rsidRPr="003C4AB6">
        <w:rPr>
          <w:sz w:val="24"/>
          <w:szCs w:val="24"/>
        </w:rPr>
        <w:t xml:space="preserve">(т. 5 от Формуляра за кандидатстване) </w:t>
      </w:r>
      <w:r w:rsidRPr="003C4AB6">
        <w:rPr>
          <w:sz w:val="24"/>
          <w:szCs w:val="24"/>
        </w:rPr>
        <w:t>ще бъде извършвана съгласно стойностн</w:t>
      </w:r>
      <w:r w:rsidR="00EB687C" w:rsidRPr="003C4AB6">
        <w:rPr>
          <w:sz w:val="24"/>
          <w:szCs w:val="24"/>
        </w:rPr>
        <w:t>ия</w:t>
      </w:r>
      <w:r w:rsidRPr="003C4AB6">
        <w:rPr>
          <w:sz w:val="24"/>
          <w:szCs w:val="24"/>
        </w:rPr>
        <w:t xml:space="preserve"> праг на същественост за дълготрайните материални и нематериални активи, </w:t>
      </w:r>
      <w:r w:rsidR="00CB31D3" w:rsidRPr="003C4AB6">
        <w:rPr>
          <w:rFonts w:ascii="Calibri" w:eastAsia="Calibri" w:hAnsi="Calibri" w:cs="Times New Roman"/>
          <w:sz w:val="24"/>
          <w:szCs w:val="24"/>
        </w:rPr>
        <w:t>определени съответно в чл. 50</w:t>
      </w:r>
      <w:r w:rsidR="00BB0ADC">
        <w:rPr>
          <w:rFonts w:ascii="Calibri" w:eastAsia="Calibri" w:hAnsi="Calibri" w:cs="Times New Roman"/>
          <w:sz w:val="24"/>
          <w:szCs w:val="24"/>
        </w:rPr>
        <w:t xml:space="preserve"> </w:t>
      </w:r>
      <w:r w:rsidR="00CB31D3" w:rsidRPr="003C4AB6">
        <w:rPr>
          <w:rFonts w:ascii="Calibri" w:eastAsia="Calibri" w:hAnsi="Calibri" w:cs="Times New Roman"/>
          <w:sz w:val="24"/>
          <w:szCs w:val="24"/>
        </w:rPr>
        <w:t>и чл.</w:t>
      </w:r>
      <w:r w:rsidR="00DD5E0C" w:rsidRPr="003C4AB6">
        <w:rPr>
          <w:rFonts w:ascii="Calibri" w:eastAsia="Calibri" w:hAnsi="Calibri" w:cs="Times New Roman"/>
          <w:sz w:val="24"/>
          <w:szCs w:val="24"/>
        </w:rPr>
        <w:t xml:space="preserve"> </w:t>
      </w:r>
      <w:r w:rsidR="00CB31D3" w:rsidRPr="003C4AB6">
        <w:rPr>
          <w:rFonts w:ascii="Calibri" w:eastAsia="Calibri" w:hAnsi="Calibri" w:cs="Times New Roman"/>
          <w:sz w:val="24"/>
          <w:szCs w:val="24"/>
        </w:rPr>
        <w:t xml:space="preserve">51 </w:t>
      </w:r>
      <w:r w:rsidR="00EB687C" w:rsidRPr="003C4AB6">
        <w:rPr>
          <w:sz w:val="24"/>
          <w:szCs w:val="24"/>
        </w:rPr>
        <w:t xml:space="preserve">от </w:t>
      </w:r>
      <w:r w:rsidRPr="003C4AB6">
        <w:rPr>
          <w:sz w:val="24"/>
          <w:szCs w:val="24"/>
        </w:rPr>
        <w:t xml:space="preserve">ЗКПО. </w:t>
      </w:r>
    </w:p>
    <w:p w:rsidR="009D5D22" w:rsidRDefault="002D59EB" w:rsidP="00EB519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2/</w:t>
      </w:r>
      <w:r w:rsidRPr="003C4AB6">
        <w:rPr>
          <w:sz w:val="24"/>
          <w:szCs w:val="24"/>
        </w:rPr>
        <w:t xml:space="preserve"> </w:t>
      </w:r>
      <w:r w:rsidR="001D3F1F" w:rsidRPr="003C4AB6">
        <w:rPr>
          <w:sz w:val="24"/>
          <w:szCs w:val="24"/>
        </w:rPr>
        <w:t>Д</w:t>
      </w:r>
      <w:r w:rsidRPr="003C4AB6">
        <w:rPr>
          <w:sz w:val="24"/>
          <w:szCs w:val="24"/>
        </w:rPr>
        <w:t xml:space="preserve">а бъдат извършени след датата на </w:t>
      </w:r>
      <w:r w:rsidR="007C04C7" w:rsidRPr="003C4AB6">
        <w:rPr>
          <w:sz w:val="24"/>
          <w:szCs w:val="24"/>
        </w:rPr>
        <w:t>подписване</w:t>
      </w:r>
      <w:r w:rsidRPr="003C4AB6">
        <w:rPr>
          <w:sz w:val="24"/>
          <w:szCs w:val="24"/>
        </w:rPr>
        <w:t xml:space="preserve"> на </w:t>
      </w:r>
      <w:r w:rsidR="00B03391">
        <w:rPr>
          <w:sz w:val="24"/>
          <w:szCs w:val="24"/>
        </w:rPr>
        <w:t xml:space="preserve">административния </w:t>
      </w:r>
      <w:r w:rsidRPr="003C4AB6">
        <w:rPr>
          <w:sz w:val="24"/>
          <w:szCs w:val="24"/>
        </w:rPr>
        <w:t xml:space="preserve">договор за предоставяне на безвъзмездна финансова помощ и до изтичане на </w:t>
      </w:r>
      <w:r w:rsidR="00B63CF7" w:rsidRPr="00B63CF7">
        <w:rPr>
          <w:sz w:val="24"/>
          <w:szCs w:val="24"/>
        </w:rPr>
        <w:t>крайния срок, определен за представяне на финалния отчет за изпълнение на дейнос</w:t>
      </w:r>
      <w:r w:rsidR="00B63CF7">
        <w:rPr>
          <w:sz w:val="24"/>
          <w:szCs w:val="24"/>
        </w:rPr>
        <w:t>тите по проекта</w:t>
      </w:r>
      <w:r w:rsidR="00B4557C" w:rsidRPr="003C4AB6">
        <w:rPr>
          <w:sz w:val="24"/>
          <w:szCs w:val="24"/>
        </w:rPr>
        <w:t>.</w:t>
      </w:r>
    </w:p>
    <w:p w:rsidR="00167084" w:rsidRDefault="001F1364" w:rsidP="008C162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proofErr w:type="spellStart"/>
      <w:r w:rsidRPr="003C4AB6">
        <w:rPr>
          <w:sz w:val="24"/>
          <w:szCs w:val="24"/>
        </w:rPr>
        <w:t>Разходооправдателните</w:t>
      </w:r>
      <w:proofErr w:type="spellEnd"/>
      <w:r w:rsidRPr="003C4AB6">
        <w:rPr>
          <w:sz w:val="24"/>
          <w:szCs w:val="24"/>
        </w:rPr>
        <w:t xml:space="preserve"> документи, свързани с изпълнението на допустими по проекта дейности</w:t>
      </w:r>
      <w:r w:rsidRPr="003C4AB6">
        <w:rPr>
          <w:iCs/>
          <w:sz w:val="24"/>
          <w:szCs w:val="24"/>
        </w:rPr>
        <w:t>,</w:t>
      </w:r>
      <w:r w:rsidRPr="003C4AB6">
        <w:rPr>
          <w:sz w:val="24"/>
          <w:szCs w:val="24"/>
        </w:rPr>
        <w:t xml:space="preserve"> следва да бъдат издадени </w:t>
      </w:r>
      <w:r w:rsidR="00167084">
        <w:rPr>
          <w:sz w:val="24"/>
          <w:szCs w:val="24"/>
        </w:rPr>
        <w:t xml:space="preserve">в периода </w:t>
      </w:r>
      <w:r w:rsidR="00167084" w:rsidRPr="00167084">
        <w:rPr>
          <w:rFonts w:ascii="Calibri" w:eastAsia="Calibri" w:hAnsi="Calibri" w:cs="Times New Roman"/>
          <w:sz w:val="24"/>
          <w:szCs w:val="24"/>
        </w:rPr>
        <w:t>до предаване на междинния/финален отчет.</w:t>
      </w:r>
    </w:p>
    <w:p w:rsidR="00F50767" w:rsidRPr="003C4AB6" w:rsidRDefault="00FC6EBF" w:rsidP="00F5076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3/</w:t>
      </w:r>
      <w:r w:rsidR="00EA7917" w:rsidRPr="003C4AB6">
        <w:rPr>
          <w:b/>
          <w:sz w:val="24"/>
          <w:szCs w:val="24"/>
        </w:rPr>
        <w:t xml:space="preserve"> </w:t>
      </w:r>
      <w:r w:rsidR="00EA7917" w:rsidRPr="003C4AB6">
        <w:rPr>
          <w:sz w:val="24"/>
          <w:szCs w:val="24"/>
        </w:rPr>
        <w:t>Да са в съответствие с</w:t>
      </w:r>
      <w:r w:rsidRPr="003C4AB6">
        <w:rPr>
          <w:sz w:val="24"/>
          <w:szCs w:val="24"/>
        </w:rPr>
        <w:t xml:space="preserve"> </w:t>
      </w:r>
      <w:r w:rsidR="00F50767" w:rsidRPr="003C4AB6">
        <w:rPr>
          <w:sz w:val="24"/>
          <w:szCs w:val="24"/>
        </w:rPr>
        <w:t>категориите разходи</w:t>
      </w:r>
      <w:r w:rsidR="00EA7917" w:rsidRPr="003C4AB6">
        <w:rPr>
          <w:sz w:val="24"/>
          <w:szCs w:val="24"/>
        </w:rPr>
        <w:t>,</w:t>
      </w:r>
      <w:r w:rsidR="00F50767" w:rsidRPr="003C4AB6">
        <w:rPr>
          <w:sz w:val="24"/>
          <w:szCs w:val="24"/>
        </w:rPr>
        <w:t xml:space="preserve"> включени в </w:t>
      </w:r>
      <w:r w:rsidR="0014361E">
        <w:rPr>
          <w:sz w:val="24"/>
          <w:szCs w:val="24"/>
        </w:rPr>
        <w:t xml:space="preserve">административния </w:t>
      </w:r>
      <w:r w:rsidR="00F50767" w:rsidRPr="003C4AB6">
        <w:rPr>
          <w:sz w:val="24"/>
          <w:szCs w:val="24"/>
        </w:rPr>
        <w:t xml:space="preserve">договор за предоставяне на </w:t>
      </w:r>
      <w:r w:rsidR="00EA7917" w:rsidRPr="003C4AB6">
        <w:rPr>
          <w:sz w:val="24"/>
          <w:szCs w:val="24"/>
        </w:rPr>
        <w:t>безвъзмездна помощ</w:t>
      </w:r>
      <w:r w:rsidR="00F50767" w:rsidRPr="003C4AB6">
        <w:rPr>
          <w:sz w:val="24"/>
          <w:szCs w:val="24"/>
        </w:rPr>
        <w:t>;</w:t>
      </w:r>
    </w:p>
    <w:p w:rsidR="00F50767" w:rsidRPr="003C4AB6" w:rsidRDefault="00F50767" w:rsidP="00F5076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4/</w:t>
      </w:r>
      <w:r w:rsidRPr="003C4AB6">
        <w:rPr>
          <w:sz w:val="24"/>
          <w:szCs w:val="24"/>
        </w:rPr>
        <w:t xml:space="preserve"> За разходите да е налична адекватна </w:t>
      </w:r>
      <w:proofErr w:type="spellStart"/>
      <w:r w:rsidRPr="003C4AB6">
        <w:rPr>
          <w:sz w:val="24"/>
          <w:szCs w:val="24"/>
        </w:rPr>
        <w:t>одитна</w:t>
      </w:r>
      <w:proofErr w:type="spellEnd"/>
      <w:r w:rsidRPr="003C4AB6">
        <w:rPr>
          <w:sz w:val="24"/>
          <w:szCs w:val="24"/>
        </w:rPr>
        <w:t xml:space="preserve"> следа, включително да са спазени </w:t>
      </w:r>
      <w:r w:rsidR="00C01E35">
        <w:rPr>
          <w:sz w:val="24"/>
          <w:szCs w:val="24"/>
        </w:rPr>
        <w:t>изискванията за съхраняване</w:t>
      </w:r>
      <w:r w:rsidRPr="003C4AB6">
        <w:rPr>
          <w:sz w:val="24"/>
          <w:szCs w:val="24"/>
        </w:rPr>
        <w:t xml:space="preserve"> на документите по чл. 140 от Регламент (ЕС) № 1303/2013 ;</w:t>
      </w:r>
    </w:p>
    <w:p w:rsidR="00FC6EBF" w:rsidRPr="003C4AB6" w:rsidRDefault="00F50767" w:rsidP="00FC6EBF">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3C4AB6">
        <w:rPr>
          <w:b/>
          <w:sz w:val="24"/>
          <w:szCs w:val="24"/>
        </w:rPr>
        <w:t>5/</w:t>
      </w:r>
      <w:r w:rsidRPr="003C4AB6">
        <w:rPr>
          <w:sz w:val="24"/>
          <w:szCs w:val="24"/>
        </w:rPr>
        <w:t xml:space="preserve"> </w:t>
      </w:r>
      <w:r w:rsidR="00FC6EBF" w:rsidRPr="003C4AB6">
        <w:rPr>
          <w:sz w:val="24"/>
          <w:szCs w:val="24"/>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FC6EBF" w:rsidRPr="003C4AB6">
        <w:rPr>
          <w:b/>
          <w:i/>
          <w:sz w:val="24"/>
          <w:szCs w:val="24"/>
        </w:rPr>
        <w:t xml:space="preserve"> </w:t>
      </w:r>
    </w:p>
    <w:p w:rsidR="00F50767" w:rsidRPr="003C4AB6" w:rsidRDefault="00F50767" w:rsidP="00F5076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6/</w:t>
      </w:r>
      <w:r w:rsidRPr="003C4AB6">
        <w:rPr>
          <w:sz w:val="24"/>
          <w:szCs w:val="24"/>
        </w:rPr>
        <w:t xml:space="preserve"> Да са отразени в счетоводната документация на бенефициента чрез отделни счетоводни аналитични сметки или в отделна счетоводна система;</w:t>
      </w:r>
    </w:p>
    <w:p w:rsidR="00FC6EBF" w:rsidRPr="003C4AB6" w:rsidRDefault="00F50767" w:rsidP="004C7A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7/</w:t>
      </w:r>
      <w:r w:rsidR="00FC6EBF" w:rsidRPr="003C4AB6">
        <w:rPr>
          <w:sz w:val="24"/>
          <w:szCs w:val="24"/>
        </w:rPr>
        <w:t xml:space="preserve"> Да могат да се установят и проверят, да бъдат подкрепени от оригинални </w:t>
      </w:r>
      <w:proofErr w:type="spellStart"/>
      <w:r w:rsidR="00FC6EBF" w:rsidRPr="003C4AB6">
        <w:rPr>
          <w:sz w:val="24"/>
          <w:szCs w:val="24"/>
        </w:rPr>
        <w:t>разходо-оправдателни</w:t>
      </w:r>
      <w:proofErr w:type="spellEnd"/>
      <w:r w:rsidR="00FC6EBF" w:rsidRPr="003C4AB6">
        <w:rPr>
          <w:sz w:val="24"/>
          <w:szCs w:val="24"/>
        </w:rPr>
        <w:t xml:space="preserve"> документи.</w:t>
      </w:r>
    </w:p>
    <w:p w:rsidR="00F50767" w:rsidRDefault="00F50767" w:rsidP="00F5076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8/</w:t>
      </w:r>
      <w:r w:rsidRPr="003C4AB6">
        <w:rPr>
          <w:sz w:val="24"/>
          <w:szCs w:val="24"/>
        </w:rPr>
        <w:t xml:space="preserve"> Да са за дейности, определени и </w:t>
      </w:r>
      <w:r w:rsidR="00860D31" w:rsidRPr="003C4AB6">
        <w:rPr>
          <w:sz w:val="24"/>
          <w:szCs w:val="24"/>
        </w:rPr>
        <w:t>извършени под отговорността на У</w:t>
      </w:r>
      <w:r w:rsidRPr="003C4AB6">
        <w:rPr>
          <w:sz w:val="24"/>
          <w:szCs w:val="24"/>
        </w:rPr>
        <w:t>правляващ</w:t>
      </w:r>
      <w:r w:rsidR="0093319A" w:rsidRPr="003C4AB6">
        <w:rPr>
          <w:sz w:val="24"/>
          <w:szCs w:val="24"/>
        </w:rPr>
        <w:t>ия</w:t>
      </w:r>
      <w:r w:rsidRPr="003C4AB6">
        <w:rPr>
          <w:sz w:val="24"/>
          <w:szCs w:val="24"/>
        </w:rPr>
        <w:t xml:space="preserve"> орган и съгласно критериите за </w:t>
      </w:r>
      <w:r w:rsidR="004F48E9" w:rsidRPr="003C4AB6">
        <w:rPr>
          <w:sz w:val="24"/>
          <w:szCs w:val="24"/>
        </w:rPr>
        <w:t xml:space="preserve">подбор </w:t>
      </w:r>
      <w:r w:rsidRPr="003C4AB6">
        <w:rPr>
          <w:sz w:val="24"/>
          <w:szCs w:val="24"/>
        </w:rPr>
        <w:t xml:space="preserve">на операции, одобрени от </w:t>
      </w:r>
      <w:r w:rsidR="004F48E9" w:rsidRPr="003C4AB6">
        <w:rPr>
          <w:sz w:val="24"/>
          <w:szCs w:val="24"/>
        </w:rPr>
        <w:t>К</w:t>
      </w:r>
      <w:r w:rsidRPr="003C4AB6">
        <w:rPr>
          <w:sz w:val="24"/>
          <w:szCs w:val="24"/>
        </w:rPr>
        <w:t>омитет</w:t>
      </w:r>
      <w:r w:rsidR="004F48E9" w:rsidRPr="003C4AB6">
        <w:rPr>
          <w:sz w:val="24"/>
          <w:szCs w:val="24"/>
        </w:rPr>
        <w:t>а</w:t>
      </w:r>
      <w:r w:rsidRPr="003C4AB6">
        <w:rPr>
          <w:sz w:val="24"/>
          <w:szCs w:val="24"/>
        </w:rPr>
        <w:t xml:space="preserve"> за наблюдение. </w:t>
      </w:r>
    </w:p>
    <w:p w:rsidR="00E05E03" w:rsidRPr="003C4AB6" w:rsidRDefault="00E05E03" w:rsidP="00F5076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E05E03">
        <w:rPr>
          <w:b/>
          <w:sz w:val="24"/>
          <w:szCs w:val="24"/>
        </w:rPr>
        <w:t>9/</w:t>
      </w:r>
      <w:r>
        <w:rPr>
          <w:sz w:val="24"/>
          <w:szCs w:val="24"/>
        </w:rPr>
        <w:t xml:space="preserve"> </w:t>
      </w:r>
      <w:r w:rsidRPr="00E05E03">
        <w:rPr>
          <w:rFonts w:ascii="Calibri" w:eastAsia="Calibri" w:hAnsi="Calibri" w:cs="Times New Roman"/>
          <w:sz w:val="24"/>
          <w:szCs w:val="24"/>
        </w:rPr>
        <w:t>Да са за реално доставени продукти и извършени услуги</w:t>
      </w:r>
      <w:r>
        <w:rPr>
          <w:rFonts w:ascii="Calibri" w:eastAsia="Calibri" w:hAnsi="Calibri" w:cs="Times New Roman"/>
          <w:sz w:val="24"/>
          <w:szCs w:val="24"/>
        </w:rPr>
        <w:t>.</w:t>
      </w:r>
    </w:p>
    <w:p w:rsidR="00FC6EBF" w:rsidRPr="003C4AB6" w:rsidRDefault="00FC6EBF" w:rsidP="007B1F07">
      <w:pPr>
        <w:pBdr>
          <w:top w:val="single" w:sz="4" w:space="1" w:color="auto"/>
          <w:left w:val="single" w:sz="4" w:space="4" w:color="auto"/>
          <w:bottom w:val="single" w:sz="4" w:space="1" w:color="auto"/>
          <w:right w:val="single" w:sz="4" w:space="4" w:color="auto"/>
        </w:pBdr>
        <w:spacing w:after="360" w:line="240" w:lineRule="auto"/>
        <w:jc w:val="both"/>
        <w:rPr>
          <w:sz w:val="24"/>
          <w:szCs w:val="24"/>
        </w:rPr>
      </w:pPr>
      <w:r w:rsidRPr="003C4AB6">
        <w:rPr>
          <w:sz w:val="24"/>
          <w:szCs w:val="24"/>
        </w:rPr>
        <w:t>Бюджетът</w:t>
      </w:r>
      <w:r w:rsidR="00097E7E" w:rsidRPr="003C4AB6">
        <w:rPr>
          <w:sz w:val="24"/>
          <w:szCs w:val="24"/>
        </w:rPr>
        <w:t xml:space="preserve"> (т. 5 от Формуляра за кандидатстване)</w:t>
      </w:r>
      <w:r w:rsidRPr="003C4AB6">
        <w:rPr>
          <w:sz w:val="24"/>
          <w:szCs w:val="24"/>
        </w:rPr>
        <w:t xml:space="preserve"> трябва да отразява допустимите разходи, които са свързани с изпълнението на проекта. По настоящата процедура са недопустими разходите за </w:t>
      </w:r>
      <w:r w:rsidR="00650CBD" w:rsidRPr="003C4AB6">
        <w:rPr>
          <w:sz w:val="24"/>
          <w:szCs w:val="24"/>
        </w:rPr>
        <w:t>възстановим</w:t>
      </w:r>
      <w:r w:rsidRPr="003C4AB6">
        <w:rPr>
          <w:sz w:val="24"/>
          <w:szCs w:val="24"/>
        </w:rPr>
        <w:t xml:space="preserve"> ДДС във връзка с изпълнението на проекта. Недопустимите разходи за </w:t>
      </w:r>
      <w:r w:rsidR="00650CBD" w:rsidRPr="003C4AB6">
        <w:rPr>
          <w:sz w:val="24"/>
          <w:szCs w:val="24"/>
        </w:rPr>
        <w:t>възстановим</w:t>
      </w:r>
      <w:r w:rsidRPr="003C4AB6">
        <w:rPr>
          <w:sz w:val="24"/>
          <w:szCs w:val="24"/>
        </w:rPr>
        <w:t xml:space="preserve"> ДДС няма да се считат за собствено </w:t>
      </w:r>
      <w:proofErr w:type="spellStart"/>
      <w:r w:rsidRPr="003C4AB6">
        <w:rPr>
          <w:sz w:val="24"/>
          <w:szCs w:val="24"/>
        </w:rPr>
        <w:t>съфинансиране</w:t>
      </w:r>
      <w:proofErr w:type="spellEnd"/>
      <w:r w:rsidRPr="003C4AB6">
        <w:rPr>
          <w:sz w:val="24"/>
          <w:szCs w:val="24"/>
        </w:rPr>
        <w:t xml:space="preserve"> от страна на бенефициента. </w:t>
      </w:r>
    </w:p>
    <w:p w:rsidR="001F1364" w:rsidRPr="003C4AB6" w:rsidRDefault="007B1F07" w:rsidP="00DC14A3">
      <w:pPr>
        <w:pStyle w:val="Heading3"/>
        <w:spacing w:before="120" w:after="120"/>
        <w:rPr>
          <w:sz w:val="24"/>
          <w:szCs w:val="24"/>
        </w:rPr>
      </w:pPr>
      <w:bookmarkStart w:id="20" w:name="_Toc442298723"/>
      <w:r w:rsidRPr="003C4AB6">
        <w:rPr>
          <w:sz w:val="24"/>
          <w:szCs w:val="24"/>
        </w:rPr>
        <w:lastRenderedPageBreak/>
        <w:t>14.2. Допустими разходи</w:t>
      </w:r>
      <w:bookmarkEnd w:id="20"/>
    </w:p>
    <w:p w:rsidR="00B858FD" w:rsidRPr="003C4AB6" w:rsidRDefault="00CE3D48" w:rsidP="001B4D6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Допустимите разходи </w:t>
      </w:r>
      <w:r w:rsidR="00E05E03" w:rsidRPr="00E05E03">
        <w:rPr>
          <w:rFonts w:ascii="Calibri" w:eastAsia="Calibri" w:hAnsi="Calibri" w:cs="Times New Roman"/>
          <w:sz w:val="24"/>
          <w:szCs w:val="24"/>
        </w:rPr>
        <w:t xml:space="preserve">следва да са извършени законосъобразно и </w:t>
      </w:r>
      <w:r w:rsidRPr="003C4AB6">
        <w:rPr>
          <w:sz w:val="24"/>
          <w:szCs w:val="24"/>
        </w:rPr>
        <w:t xml:space="preserve">не трябва да противоречат на правилата, описани в </w:t>
      </w:r>
      <w:r w:rsidR="00B22017" w:rsidRPr="003C4AB6">
        <w:rPr>
          <w:sz w:val="24"/>
          <w:szCs w:val="24"/>
        </w:rPr>
        <w:t>Регламент (ЕС</w:t>
      </w:r>
      <w:r w:rsidRPr="003C4AB6">
        <w:rPr>
          <w:sz w:val="24"/>
          <w:szCs w:val="24"/>
        </w:rPr>
        <w:t xml:space="preserve">)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w:t>
      </w:r>
      <w:r w:rsidR="00B22017" w:rsidRPr="003C4AB6">
        <w:rPr>
          <w:sz w:val="24"/>
          <w:szCs w:val="24"/>
        </w:rPr>
        <w:t>(ЕО) № 1080/2006, Регламент (ЕС</w:t>
      </w:r>
      <w:r w:rsidRPr="003C4AB6">
        <w:rPr>
          <w:sz w:val="24"/>
          <w:szCs w:val="24"/>
        </w:rPr>
        <w:t xml:space="preserve">) № 1303/2013 на Европейския парламент и Съвета за определяне на </w:t>
      </w:r>
      <w:proofErr w:type="spellStart"/>
      <w:r w:rsidRPr="003C4AB6">
        <w:rPr>
          <w:sz w:val="24"/>
          <w:szCs w:val="24"/>
        </w:rPr>
        <w:t>общоприложими</w:t>
      </w:r>
      <w:proofErr w:type="spellEnd"/>
      <w:r w:rsidRPr="003C4AB6">
        <w:rPr>
          <w:sz w:val="24"/>
          <w:szCs w:val="24"/>
        </w:rPr>
        <w:t xml:space="preserve"> разпоредби за Европейския фонд за регионално развитие, Европейския социален фонд, </w:t>
      </w:r>
      <w:proofErr w:type="spellStart"/>
      <w:r w:rsidRPr="003C4AB6">
        <w:rPr>
          <w:sz w:val="24"/>
          <w:szCs w:val="24"/>
        </w:rPr>
        <w:t>Кохезионния</w:t>
      </w:r>
      <w:proofErr w:type="spellEnd"/>
      <w:r w:rsidRPr="003C4AB6">
        <w:rPr>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3C4AB6">
        <w:rPr>
          <w:sz w:val="24"/>
          <w:szCs w:val="24"/>
        </w:rPr>
        <w:t>Кохезионния</w:t>
      </w:r>
      <w:proofErr w:type="spellEnd"/>
      <w:r w:rsidRPr="003C4AB6">
        <w:rPr>
          <w:sz w:val="24"/>
          <w:szCs w:val="24"/>
        </w:rPr>
        <w:t xml:space="preserve"> фонд и Европейския фонд за морско дело и рибарство, и за отмяна на Регламент (ЕО) № 1083/2006 на Съвета</w:t>
      </w:r>
      <w:r w:rsidR="005203DE">
        <w:rPr>
          <w:sz w:val="24"/>
          <w:szCs w:val="24"/>
        </w:rPr>
        <w:t xml:space="preserve">, </w:t>
      </w:r>
      <w:r w:rsidR="005203DE" w:rsidRPr="005203DE">
        <w:rPr>
          <w:rFonts w:ascii="Calibri" w:eastAsia="Calibri" w:hAnsi="Calibri" w:cs="Times New Roman"/>
          <w:sz w:val="24"/>
          <w:szCs w:val="24"/>
        </w:rPr>
        <w:t xml:space="preserve">Закона за управление на средствата от Европейските структурни и инвестиционни фондове </w:t>
      </w:r>
      <w:r w:rsidR="005203DE" w:rsidRPr="005203DE">
        <w:rPr>
          <w:rFonts w:ascii="Calibri" w:eastAsia="Calibri" w:hAnsi="Calibri" w:cs="Times New Roman"/>
          <w:sz w:val="24"/>
          <w:szCs w:val="24"/>
          <w:lang w:val="en-US"/>
        </w:rPr>
        <w:t>(</w:t>
      </w:r>
      <w:r w:rsidR="005203DE" w:rsidRPr="005203DE">
        <w:rPr>
          <w:rFonts w:ascii="Calibri" w:eastAsia="Calibri" w:hAnsi="Calibri" w:cs="Times New Roman"/>
          <w:sz w:val="24"/>
          <w:szCs w:val="24"/>
        </w:rPr>
        <w:t>ЗУСЕСИФ</w:t>
      </w:r>
      <w:r w:rsidR="005203DE" w:rsidRPr="005203DE">
        <w:rPr>
          <w:rFonts w:ascii="Calibri" w:eastAsia="Calibri" w:hAnsi="Calibri" w:cs="Times New Roman"/>
          <w:sz w:val="24"/>
          <w:szCs w:val="24"/>
          <w:lang w:val="en-US"/>
        </w:rPr>
        <w:t>)</w:t>
      </w:r>
      <w:r w:rsidR="005203DE" w:rsidRPr="005203DE">
        <w:rPr>
          <w:rFonts w:ascii="Calibri" w:eastAsia="Calibri" w:hAnsi="Calibri" w:cs="Times New Roman"/>
          <w:sz w:val="24"/>
          <w:szCs w:val="24"/>
        </w:rPr>
        <w:t>,</w:t>
      </w:r>
      <w:r w:rsidR="00100773">
        <w:rPr>
          <w:sz w:val="24"/>
          <w:szCs w:val="24"/>
        </w:rPr>
        <w:t xml:space="preserve"> </w:t>
      </w:r>
      <w:r w:rsidR="005203DE" w:rsidRPr="0083395F">
        <w:rPr>
          <w:sz w:val="24"/>
          <w:szCs w:val="24"/>
        </w:rPr>
        <w:t>както и всички</w:t>
      </w:r>
      <w:r w:rsidR="005203DE" w:rsidRPr="005203DE">
        <w:rPr>
          <w:sz w:val="24"/>
          <w:szCs w:val="24"/>
        </w:rPr>
        <w:t xml:space="preserve"> други законови и подзаконови  нормативни актове от приложимото право на Европейския съюз и българското законодателство и настоящите </w:t>
      </w:r>
      <w:r w:rsidR="007B1E28">
        <w:rPr>
          <w:sz w:val="24"/>
          <w:szCs w:val="24"/>
        </w:rPr>
        <w:t>Условия</w:t>
      </w:r>
      <w:r w:rsidR="005203DE" w:rsidRPr="005203DE">
        <w:rPr>
          <w:sz w:val="24"/>
          <w:szCs w:val="24"/>
        </w:rPr>
        <w:t xml:space="preserve"> за кандидатстване.</w:t>
      </w:r>
    </w:p>
    <w:p w:rsidR="001B4D64" w:rsidRPr="003C4AB6" w:rsidRDefault="001B4D64" w:rsidP="007B3960">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процедурата са следните видове разходи: </w:t>
      </w:r>
    </w:p>
    <w:p w:rsidR="00732E8F" w:rsidRPr="003C4AB6" w:rsidRDefault="00732E8F" w:rsidP="00A66E9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1/ </w:t>
      </w:r>
      <w:r w:rsidRPr="003C4AB6">
        <w:rPr>
          <w:sz w:val="24"/>
          <w:szCs w:val="24"/>
        </w:rPr>
        <w:t>Разходи за възнаграждения (вкл. здравни и осигурителни вноски за сметка на работодателя) на квалифициран персонал, необходим за изпълн</w:t>
      </w:r>
      <w:r w:rsidR="000E2EAB" w:rsidRPr="003C4AB6">
        <w:rPr>
          <w:sz w:val="24"/>
          <w:szCs w:val="24"/>
        </w:rPr>
        <w:t>ението на дейностите по проекта</w:t>
      </w:r>
      <w:r w:rsidR="0089795E" w:rsidRPr="003C4AB6">
        <w:rPr>
          <w:sz w:val="24"/>
          <w:szCs w:val="24"/>
        </w:rPr>
        <w:t xml:space="preserve"> – </w:t>
      </w:r>
      <w:r w:rsidR="0089795E" w:rsidRPr="003C4AB6">
        <w:rPr>
          <w:b/>
          <w:sz w:val="24"/>
          <w:szCs w:val="24"/>
        </w:rPr>
        <w:t xml:space="preserve">до </w:t>
      </w:r>
      <w:r w:rsidR="00FF4275">
        <w:rPr>
          <w:b/>
          <w:sz w:val="24"/>
          <w:szCs w:val="24"/>
          <w:lang w:val="en-US"/>
        </w:rPr>
        <w:t>6</w:t>
      </w:r>
      <w:r w:rsidR="0089795E" w:rsidRPr="003C4AB6">
        <w:rPr>
          <w:b/>
          <w:sz w:val="24"/>
          <w:szCs w:val="24"/>
        </w:rPr>
        <w:t>0% от общо допустимите разходи по проекта.</w:t>
      </w:r>
    </w:p>
    <w:p w:rsidR="00927E70" w:rsidRPr="003C4AB6" w:rsidRDefault="0089795E" w:rsidP="00183529">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3C4AB6">
        <w:rPr>
          <w:b/>
          <w:sz w:val="24"/>
          <w:szCs w:val="24"/>
        </w:rPr>
        <w:t xml:space="preserve">ВАЖНО: </w:t>
      </w:r>
      <w:r w:rsidR="0064125B" w:rsidRPr="003C4AB6">
        <w:rPr>
          <w:sz w:val="24"/>
          <w:szCs w:val="24"/>
        </w:rPr>
        <w:t>Разходи</w:t>
      </w:r>
      <w:r w:rsidR="001168FF" w:rsidRPr="003C4AB6">
        <w:rPr>
          <w:sz w:val="24"/>
          <w:szCs w:val="24"/>
        </w:rPr>
        <w:t>те</w:t>
      </w:r>
      <w:r w:rsidR="0064125B" w:rsidRPr="003C4AB6">
        <w:rPr>
          <w:sz w:val="24"/>
          <w:szCs w:val="24"/>
        </w:rPr>
        <w:t xml:space="preserve"> за възнаграждения са допустими за квалифициран персонал</w:t>
      </w:r>
      <w:r w:rsidR="00927E70" w:rsidRPr="003C4AB6">
        <w:rPr>
          <w:sz w:val="24"/>
          <w:szCs w:val="24"/>
        </w:rPr>
        <w:t xml:space="preserve">, </w:t>
      </w:r>
      <w:r w:rsidR="00AA4A38" w:rsidRPr="003C4AB6">
        <w:rPr>
          <w:rFonts w:ascii="Calibri" w:eastAsia="Calibri" w:hAnsi="Calibri" w:cs="Times New Roman"/>
          <w:sz w:val="24"/>
          <w:szCs w:val="24"/>
        </w:rPr>
        <w:t>нает единствено на трудов договор за минимум 4 работни часа на ден.</w:t>
      </w:r>
    </w:p>
    <w:p w:rsidR="00183529" w:rsidRPr="003C4AB6" w:rsidRDefault="00394653" w:rsidP="00183529">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rFonts w:ascii="Calibri" w:eastAsia="Calibri" w:hAnsi="Calibri" w:cs="Times New Roman"/>
          <w:sz w:val="24"/>
          <w:szCs w:val="24"/>
        </w:rPr>
        <w:t xml:space="preserve">Размерът на брутното трудово възнаграждение за 8 часов работен ден </w:t>
      </w:r>
      <w:r w:rsidRPr="003C4AB6">
        <w:rPr>
          <w:rFonts w:ascii="Calibri" w:eastAsia="Calibri" w:hAnsi="Calibri" w:cs="Times New Roman"/>
          <w:b/>
          <w:sz w:val="24"/>
          <w:szCs w:val="24"/>
        </w:rPr>
        <w:t>не трябва</w:t>
      </w:r>
      <w:r w:rsidRPr="003C4AB6">
        <w:rPr>
          <w:rFonts w:ascii="Calibri" w:eastAsia="Calibri" w:hAnsi="Calibri" w:cs="Times New Roman"/>
          <w:sz w:val="24"/>
          <w:szCs w:val="24"/>
        </w:rPr>
        <w:t xml:space="preserve"> да надвишава максималния месечен размер на</w:t>
      </w:r>
      <w:r w:rsidR="007A56C1">
        <w:rPr>
          <w:rFonts w:ascii="Calibri" w:eastAsia="Calibri" w:hAnsi="Calibri" w:cs="Times New Roman"/>
          <w:sz w:val="24"/>
          <w:szCs w:val="24"/>
        </w:rPr>
        <w:t xml:space="preserve"> </w:t>
      </w:r>
      <w:r w:rsidRPr="003C4AB6">
        <w:rPr>
          <w:rFonts w:ascii="Calibri" w:eastAsia="Calibri" w:hAnsi="Calibri" w:cs="Times New Roman"/>
          <w:sz w:val="24"/>
          <w:szCs w:val="24"/>
        </w:rPr>
        <w:t>осигурителния доход</w:t>
      </w:r>
      <w:r w:rsidR="006C7C58" w:rsidRPr="006C7C58">
        <w:rPr>
          <w:rFonts w:ascii="Calibri" w:eastAsia="Calibri" w:hAnsi="Calibri" w:cs="Times New Roman"/>
          <w:sz w:val="24"/>
          <w:szCs w:val="24"/>
        </w:rPr>
        <w:t xml:space="preserve"> за годината на кандидатстване</w:t>
      </w:r>
      <w:r w:rsidR="006E05DD">
        <w:rPr>
          <w:rFonts w:ascii="Calibri" w:eastAsia="Calibri" w:hAnsi="Calibri" w:cs="Times New Roman"/>
          <w:sz w:val="24"/>
          <w:szCs w:val="24"/>
        </w:rPr>
        <w:t xml:space="preserve"> (2016 г.)</w:t>
      </w:r>
      <w:r w:rsidRPr="003C4AB6">
        <w:rPr>
          <w:rFonts w:ascii="Calibri" w:eastAsia="Calibri" w:hAnsi="Calibri" w:cs="Times New Roman"/>
          <w:sz w:val="24"/>
          <w:szCs w:val="24"/>
        </w:rPr>
        <w:t xml:space="preserve"> </w:t>
      </w:r>
      <w:r w:rsidR="00240620">
        <w:rPr>
          <w:rFonts w:ascii="Calibri" w:eastAsia="Calibri" w:hAnsi="Calibri" w:cs="Times New Roman"/>
          <w:sz w:val="24"/>
          <w:szCs w:val="24"/>
        </w:rPr>
        <w:t>от 2 600 лв</w:t>
      </w:r>
      <w:r w:rsidRPr="003C4AB6">
        <w:rPr>
          <w:rFonts w:ascii="Calibri" w:eastAsia="Calibri" w:hAnsi="Calibri" w:cs="Times New Roman"/>
          <w:sz w:val="24"/>
          <w:szCs w:val="24"/>
        </w:rPr>
        <w:t xml:space="preserve">. </w:t>
      </w:r>
      <w:r w:rsidR="00130E89" w:rsidRPr="003C4AB6">
        <w:rPr>
          <w:sz w:val="24"/>
          <w:szCs w:val="24"/>
        </w:rPr>
        <w:t>Размерът на в</w:t>
      </w:r>
      <w:r w:rsidR="00183529" w:rsidRPr="003C4AB6">
        <w:rPr>
          <w:sz w:val="24"/>
          <w:szCs w:val="24"/>
        </w:rPr>
        <w:t xml:space="preserve">ъзнаграждението на </w:t>
      </w:r>
      <w:r w:rsidR="008262BE" w:rsidRPr="003C4AB6">
        <w:rPr>
          <w:sz w:val="24"/>
          <w:szCs w:val="24"/>
        </w:rPr>
        <w:t>персонал, нает</w:t>
      </w:r>
      <w:r w:rsidR="00183529" w:rsidRPr="003C4AB6">
        <w:rPr>
          <w:sz w:val="24"/>
          <w:szCs w:val="24"/>
        </w:rPr>
        <w:t xml:space="preserve"> за по-малко от 8 ч</w:t>
      </w:r>
      <w:r w:rsidR="00130E89" w:rsidRPr="003C4AB6">
        <w:rPr>
          <w:sz w:val="24"/>
          <w:szCs w:val="24"/>
        </w:rPr>
        <w:t>аса</w:t>
      </w:r>
      <w:r w:rsidR="00183529" w:rsidRPr="003C4AB6">
        <w:rPr>
          <w:sz w:val="24"/>
          <w:szCs w:val="24"/>
        </w:rPr>
        <w:t xml:space="preserve">, следва да бъде пропорционално на това на </w:t>
      </w:r>
      <w:r w:rsidR="008262BE" w:rsidRPr="003C4AB6">
        <w:rPr>
          <w:sz w:val="24"/>
          <w:szCs w:val="24"/>
        </w:rPr>
        <w:t>персонал, нает</w:t>
      </w:r>
      <w:r w:rsidR="00183529" w:rsidRPr="003C4AB6">
        <w:rPr>
          <w:sz w:val="24"/>
          <w:szCs w:val="24"/>
        </w:rPr>
        <w:t xml:space="preserve"> за 8 ч</w:t>
      </w:r>
      <w:r w:rsidR="00130E89" w:rsidRPr="003C4AB6">
        <w:rPr>
          <w:sz w:val="24"/>
          <w:szCs w:val="24"/>
        </w:rPr>
        <w:t>аса</w:t>
      </w:r>
      <w:r w:rsidR="00183529" w:rsidRPr="003C4AB6">
        <w:rPr>
          <w:sz w:val="24"/>
          <w:szCs w:val="24"/>
        </w:rPr>
        <w:t>.</w:t>
      </w:r>
      <w:r w:rsidR="00183529" w:rsidRPr="003C4AB6">
        <w:rPr>
          <w:b/>
          <w:sz w:val="24"/>
          <w:szCs w:val="24"/>
        </w:rPr>
        <w:t xml:space="preserve"> </w:t>
      </w:r>
    </w:p>
    <w:p w:rsidR="009C2062" w:rsidRPr="003C4AB6" w:rsidRDefault="009C2062" w:rsidP="009C2062">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3C4AB6">
        <w:rPr>
          <w:rFonts w:ascii="Calibri" w:eastAsia="Calibri" w:hAnsi="Calibri" w:cs="Times New Roman"/>
          <w:sz w:val="24"/>
          <w:szCs w:val="24"/>
        </w:rPr>
        <w:t>Разходите за възнаграждения следва да бъдат определени на месечна база.</w:t>
      </w:r>
    </w:p>
    <w:p w:rsidR="00D410D0" w:rsidRPr="003C4AB6" w:rsidRDefault="009C2062" w:rsidP="00183529">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Разходите за полагаем платен годишен отпуск са допустими за периода на изпълнение на дейностите по проекта и до </w:t>
      </w:r>
      <w:r w:rsidR="00213AEF" w:rsidRPr="00213AEF">
        <w:rPr>
          <w:rFonts w:ascii="Calibri" w:eastAsia="Calibri" w:hAnsi="Calibri" w:cs="Times New Roman"/>
          <w:sz w:val="24"/>
          <w:szCs w:val="24"/>
        </w:rPr>
        <w:t xml:space="preserve">размера на основния платен годишен отпуск  </w:t>
      </w:r>
      <w:r w:rsidRPr="003C4AB6">
        <w:rPr>
          <w:rFonts w:ascii="Calibri" w:eastAsia="Calibri" w:hAnsi="Calibri" w:cs="Times New Roman"/>
          <w:sz w:val="24"/>
          <w:szCs w:val="24"/>
        </w:rPr>
        <w:t xml:space="preserve">посочен в чл. 155 от Кодекса на труда.  </w:t>
      </w:r>
    </w:p>
    <w:p w:rsidR="00CE48D5" w:rsidRDefault="000B74EF"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r w:rsidRPr="000B74EF">
        <w:rPr>
          <w:b/>
          <w:sz w:val="24"/>
          <w:szCs w:val="24"/>
        </w:rPr>
        <w:t>ВАЖНО:</w:t>
      </w:r>
      <w:r>
        <w:rPr>
          <w:sz w:val="24"/>
          <w:szCs w:val="24"/>
        </w:rPr>
        <w:t xml:space="preserve"> </w:t>
      </w:r>
      <w:r w:rsidR="00294207">
        <w:rPr>
          <w:sz w:val="24"/>
          <w:szCs w:val="24"/>
        </w:rPr>
        <w:t>В</w:t>
      </w:r>
      <w:r w:rsidR="00FE7385" w:rsidRPr="003C4AB6">
        <w:rPr>
          <w:sz w:val="24"/>
          <w:szCs w:val="24"/>
        </w:rPr>
        <w:t xml:space="preserve"> т. 9 „Екип“</w:t>
      </w:r>
      <w:r w:rsidR="00CA0AC6" w:rsidRPr="003C4AB6">
        <w:rPr>
          <w:sz w:val="24"/>
          <w:szCs w:val="24"/>
        </w:rPr>
        <w:t xml:space="preserve"> от Формуляра за кандидатстване</w:t>
      </w:r>
      <w:r w:rsidR="00FE7385" w:rsidRPr="003C4AB6">
        <w:rPr>
          <w:sz w:val="24"/>
          <w:szCs w:val="24"/>
        </w:rPr>
        <w:t xml:space="preserve"> кандидатите следва да опишат е</w:t>
      </w:r>
      <w:r w:rsidR="00FE7385" w:rsidRPr="003C4AB6">
        <w:rPr>
          <w:sz w:val="24"/>
          <w:szCs w:val="24"/>
          <w:lang w:val="pl-PL"/>
        </w:rPr>
        <w:t>кип</w:t>
      </w:r>
      <w:r w:rsidR="00FE7385" w:rsidRPr="003C4AB6">
        <w:rPr>
          <w:sz w:val="24"/>
          <w:szCs w:val="24"/>
        </w:rPr>
        <w:t>а на кандидата</w:t>
      </w:r>
      <w:r w:rsidR="00E92F41" w:rsidRPr="003C4AB6">
        <w:rPr>
          <w:sz w:val="24"/>
          <w:szCs w:val="24"/>
        </w:rPr>
        <w:t xml:space="preserve">, </w:t>
      </w:r>
      <w:r w:rsidR="00F42BD0" w:rsidRPr="00F42BD0">
        <w:rPr>
          <w:rFonts w:ascii="Calibri" w:eastAsia="Calibri" w:hAnsi="Calibri" w:cs="Times New Roman"/>
          <w:sz w:val="24"/>
          <w:szCs w:val="24"/>
        </w:rPr>
        <w:t xml:space="preserve">който ще участва в изпълнението на проекта и е </w:t>
      </w:r>
      <w:r w:rsidR="0038664A">
        <w:rPr>
          <w:sz w:val="24"/>
          <w:szCs w:val="24"/>
        </w:rPr>
        <w:t>обект на оценка по Раздел II „</w:t>
      </w:r>
      <w:r w:rsidR="0038664A" w:rsidRPr="0038664A">
        <w:rPr>
          <w:sz w:val="24"/>
          <w:szCs w:val="24"/>
        </w:rPr>
        <w:t>Иновативен капацитет на екипа на кандидата  и степен на техническа готовност</w:t>
      </w:r>
      <w:r w:rsidR="0038664A">
        <w:rPr>
          <w:sz w:val="24"/>
          <w:szCs w:val="24"/>
        </w:rPr>
        <w:t>“ от критериите за техническа и финансова оценка,</w:t>
      </w:r>
      <w:r w:rsidR="0038664A" w:rsidRPr="0038664A">
        <w:rPr>
          <w:sz w:val="24"/>
          <w:szCs w:val="24"/>
        </w:rPr>
        <w:t xml:space="preserve"> </w:t>
      </w:r>
      <w:r w:rsidR="00E92F41" w:rsidRPr="003C4AB6">
        <w:rPr>
          <w:sz w:val="24"/>
          <w:szCs w:val="24"/>
        </w:rPr>
        <w:t xml:space="preserve">като представят информация за </w:t>
      </w:r>
      <w:r w:rsidR="004F7C62" w:rsidRPr="003C4AB6">
        <w:rPr>
          <w:sz w:val="24"/>
          <w:szCs w:val="24"/>
        </w:rPr>
        <w:t>опита в изпълнението на сходни дейности</w:t>
      </w:r>
      <w:r w:rsidR="00C163EE" w:rsidRPr="003C4AB6">
        <w:rPr>
          <w:sz w:val="24"/>
          <w:szCs w:val="24"/>
        </w:rPr>
        <w:t xml:space="preserve"> </w:t>
      </w:r>
      <w:r w:rsidR="00CE7BAF" w:rsidRPr="003C4AB6">
        <w:rPr>
          <w:sz w:val="24"/>
          <w:szCs w:val="24"/>
        </w:rPr>
        <w:t>и образователно-квалификационно ниво на екипа.</w:t>
      </w:r>
      <w:r w:rsidR="006A656A" w:rsidRPr="003C4AB6">
        <w:rPr>
          <w:sz w:val="24"/>
          <w:szCs w:val="24"/>
        </w:rPr>
        <w:t xml:space="preserve"> </w:t>
      </w:r>
      <w:r w:rsidRPr="000B74EF">
        <w:rPr>
          <w:sz w:val="24"/>
          <w:szCs w:val="24"/>
        </w:rPr>
        <w:t>Е</w:t>
      </w:r>
      <w:r w:rsidRPr="000B74EF">
        <w:rPr>
          <w:sz w:val="24"/>
          <w:szCs w:val="24"/>
          <w:lang w:val="pl-PL"/>
        </w:rPr>
        <w:t>кип</w:t>
      </w:r>
      <w:proofErr w:type="spellStart"/>
      <w:r w:rsidRPr="000B74EF">
        <w:rPr>
          <w:sz w:val="24"/>
          <w:szCs w:val="24"/>
        </w:rPr>
        <w:t>ът</w:t>
      </w:r>
      <w:proofErr w:type="spellEnd"/>
      <w:r w:rsidRPr="000B74EF">
        <w:rPr>
          <w:sz w:val="24"/>
          <w:szCs w:val="24"/>
        </w:rPr>
        <w:t xml:space="preserve"> на кандидата </w:t>
      </w:r>
      <w:r w:rsidR="00F42BD0">
        <w:rPr>
          <w:sz w:val="24"/>
          <w:szCs w:val="24"/>
        </w:rPr>
        <w:t xml:space="preserve">може да </w:t>
      </w:r>
      <w:r w:rsidRPr="000B74EF">
        <w:rPr>
          <w:sz w:val="24"/>
          <w:szCs w:val="24"/>
        </w:rPr>
        <w:t>включва</w:t>
      </w:r>
      <w:r w:rsidR="00CE48D5">
        <w:rPr>
          <w:sz w:val="24"/>
          <w:szCs w:val="24"/>
          <w:lang w:val="en-US"/>
        </w:rPr>
        <w:t>:</w:t>
      </w:r>
    </w:p>
    <w:p w:rsidR="00CE48D5" w:rsidRDefault="00CE48D5"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lang w:val="en-US"/>
        </w:rPr>
        <w:t>1</w:t>
      </w:r>
      <w:r w:rsidR="005458EC">
        <w:rPr>
          <w:sz w:val="24"/>
          <w:szCs w:val="24"/>
        </w:rPr>
        <w:t>/</w:t>
      </w:r>
      <w:r>
        <w:rPr>
          <w:sz w:val="24"/>
          <w:szCs w:val="24"/>
          <w:lang w:val="en-US"/>
        </w:rPr>
        <w:t xml:space="preserve"> </w:t>
      </w:r>
      <w:r>
        <w:rPr>
          <w:sz w:val="24"/>
          <w:szCs w:val="24"/>
        </w:rPr>
        <w:t>У</w:t>
      </w:r>
      <w:r w:rsidR="000B74EF" w:rsidRPr="000B74EF">
        <w:rPr>
          <w:sz w:val="24"/>
          <w:szCs w:val="24"/>
          <w:lang w:val="pl-PL"/>
        </w:rPr>
        <w:t>правители</w:t>
      </w:r>
      <w:r w:rsidR="000B74EF" w:rsidRPr="000B74EF">
        <w:rPr>
          <w:sz w:val="24"/>
          <w:szCs w:val="24"/>
        </w:rPr>
        <w:t>те</w:t>
      </w:r>
      <w:r>
        <w:rPr>
          <w:sz w:val="24"/>
          <w:szCs w:val="24"/>
        </w:rPr>
        <w:t xml:space="preserve"> на предприятието-кандидат</w:t>
      </w:r>
    </w:p>
    <w:p w:rsidR="00CE48D5" w:rsidRDefault="00CE48D5"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lastRenderedPageBreak/>
        <w:t>2/ С</w:t>
      </w:r>
      <w:r w:rsidR="000B74EF" w:rsidRPr="000B74EF">
        <w:rPr>
          <w:sz w:val="24"/>
          <w:szCs w:val="24"/>
          <w:lang w:val="pl-PL"/>
        </w:rPr>
        <w:t>ъдружници</w:t>
      </w:r>
      <w:r w:rsidR="000B74EF" w:rsidRPr="000B74EF">
        <w:rPr>
          <w:sz w:val="24"/>
          <w:szCs w:val="24"/>
        </w:rPr>
        <w:t>те</w:t>
      </w:r>
      <w:r w:rsidR="00241326">
        <w:rPr>
          <w:sz w:val="24"/>
          <w:szCs w:val="24"/>
        </w:rPr>
        <w:t xml:space="preserve"> в предприятието-кандидат</w:t>
      </w:r>
    </w:p>
    <w:p w:rsidR="00CE48D5" w:rsidRDefault="00CE48D5"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3/ С</w:t>
      </w:r>
      <w:r w:rsidR="000B74EF" w:rsidRPr="000B74EF">
        <w:rPr>
          <w:sz w:val="24"/>
          <w:szCs w:val="24"/>
          <w:lang w:val="pl-PL"/>
        </w:rPr>
        <w:t>лужителите</w:t>
      </w:r>
      <w:r w:rsidR="000B74EF" w:rsidRPr="000B74EF">
        <w:rPr>
          <w:sz w:val="24"/>
          <w:szCs w:val="24"/>
        </w:rPr>
        <w:t xml:space="preserve"> </w:t>
      </w:r>
      <w:r w:rsidR="000B74EF" w:rsidRPr="000B74EF">
        <w:rPr>
          <w:sz w:val="24"/>
          <w:szCs w:val="24"/>
          <w:lang w:val="pl-PL"/>
        </w:rPr>
        <w:t>на</w:t>
      </w:r>
      <w:proofErr w:type="spellStart"/>
      <w:r w:rsidR="000B74EF" w:rsidRPr="000B74EF">
        <w:rPr>
          <w:sz w:val="24"/>
          <w:szCs w:val="24"/>
        </w:rPr>
        <w:t>ети</w:t>
      </w:r>
      <w:proofErr w:type="spellEnd"/>
      <w:r w:rsidR="000B74EF" w:rsidRPr="000B74EF">
        <w:rPr>
          <w:sz w:val="24"/>
          <w:szCs w:val="24"/>
        </w:rPr>
        <w:t xml:space="preserve"> на трудов договор</w:t>
      </w:r>
      <w:r w:rsidR="00FD0A04">
        <w:rPr>
          <w:rStyle w:val="FootnoteReference"/>
          <w:sz w:val="24"/>
          <w:szCs w:val="24"/>
        </w:rPr>
        <w:footnoteReference w:id="11"/>
      </w:r>
      <w:r w:rsidR="000B74EF" w:rsidRPr="000B74EF">
        <w:rPr>
          <w:sz w:val="24"/>
          <w:szCs w:val="24"/>
        </w:rPr>
        <w:t xml:space="preserve"> в</w:t>
      </w:r>
      <w:r w:rsidR="000B74EF" w:rsidRPr="000B74EF">
        <w:rPr>
          <w:sz w:val="24"/>
          <w:szCs w:val="24"/>
          <w:lang w:val="pl-PL"/>
        </w:rPr>
        <w:t xml:space="preserve"> предприятието-кандидат</w:t>
      </w:r>
      <w:r w:rsidR="000B74EF" w:rsidRPr="000B74EF">
        <w:rPr>
          <w:sz w:val="24"/>
          <w:szCs w:val="24"/>
        </w:rPr>
        <w:t xml:space="preserve"> към</w:t>
      </w:r>
      <w:r w:rsidR="000B74EF" w:rsidRPr="000B74EF">
        <w:rPr>
          <w:sz w:val="24"/>
          <w:szCs w:val="24"/>
          <w:lang w:val="pl-PL"/>
        </w:rPr>
        <w:t xml:space="preserve"> дата</w:t>
      </w:r>
      <w:r w:rsidR="00FD0A04">
        <w:rPr>
          <w:sz w:val="24"/>
          <w:szCs w:val="24"/>
        </w:rPr>
        <w:t>та</w:t>
      </w:r>
      <w:r w:rsidR="000B74EF" w:rsidRPr="000B74EF">
        <w:rPr>
          <w:sz w:val="24"/>
          <w:szCs w:val="24"/>
          <w:lang w:val="pl-PL"/>
        </w:rPr>
        <w:t xml:space="preserve"> </w:t>
      </w:r>
      <w:r w:rsidR="00FD0A04">
        <w:rPr>
          <w:sz w:val="24"/>
          <w:szCs w:val="24"/>
        </w:rPr>
        <w:t>на</w:t>
      </w:r>
      <w:r w:rsidR="000B74EF" w:rsidRPr="000B74EF">
        <w:rPr>
          <w:sz w:val="24"/>
          <w:szCs w:val="24"/>
          <w:lang w:val="pl-PL"/>
        </w:rPr>
        <w:t xml:space="preserve"> подаване на проектн</w:t>
      </w:r>
      <w:proofErr w:type="spellStart"/>
      <w:r w:rsidR="00FD0A04">
        <w:rPr>
          <w:sz w:val="24"/>
          <w:szCs w:val="24"/>
        </w:rPr>
        <w:t>ото</w:t>
      </w:r>
      <w:proofErr w:type="spellEnd"/>
      <w:r w:rsidR="000B74EF" w:rsidRPr="000B74EF">
        <w:rPr>
          <w:sz w:val="24"/>
          <w:szCs w:val="24"/>
          <w:lang w:val="pl-PL"/>
        </w:rPr>
        <w:t xml:space="preserve"> предложени</w:t>
      </w:r>
      <w:r w:rsidR="00FD0A04">
        <w:rPr>
          <w:sz w:val="24"/>
          <w:szCs w:val="24"/>
        </w:rPr>
        <w:t>е</w:t>
      </w:r>
      <w:r w:rsidR="000B74EF" w:rsidRPr="000B74EF">
        <w:rPr>
          <w:sz w:val="24"/>
          <w:szCs w:val="24"/>
        </w:rPr>
        <w:t xml:space="preserve"> и/или </w:t>
      </w:r>
    </w:p>
    <w:p w:rsidR="000B74EF" w:rsidRDefault="00CE48D5"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4/ </w:t>
      </w:r>
      <w:r w:rsidR="003106A1">
        <w:rPr>
          <w:sz w:val="24"/>
          <w:szCs w:val="24"/>
        </w:rPr>
        <w:t>Експертите</w:t>
      </w:r>
      <w:r w:rsidR="000B74EF" w:rsidRPr="000B74EF">
        <w:rPr>
          <w:sz w:val="24"/>
          <w:szCs w:val="24"/>
        </w:rPr>
        <w:t xml:space="preserve">, които предстои да бъдат наети на трудов договор </w:t>
      </w:r>
      <w:r w:rsidR="00AD2F50" w:rsidRPr="000B74EF">
        <w:rPr>
          <w:sz w:val="24"/>
          <w:szCs w:val="24"/>
        </w:rPr>
        <w:t>в</w:t>
      </w:r>
      <w:r w:rsidR="00AD2F50" w:rsidRPr="000B74EF">
        <w:rPr>
          <w:sz w:val="24"/>
          <w:szCs w:val="24"/>
          <w:lang w:val="pl-PL"/>
        </w:rPr>
        <w:t xml:space="preserve"> предприятието-кандидат</w:t>
      </w:r>
      <w:r w:rsidR="00AD2F50" w:rsidRPr="000B74EF">
        <w:rPr>
          <w:sz w:val="24"/>
          <w:szCs w:val="24"/>
        </w:rPr>
        <w:t xml:space="preserve"> </w:t>
      </w:r>
      <w:r w:rsidR="000B74EF" w:rsidRPr="00AD2F50">
        <w:rPr>
          <w:sz w:val="24"/>
          <w:szCs w:val="24"/>
        </w:rPr>
        <w:t xml:space="preserve">в рамките на един месец след сключване на </w:t>
      </w:r>
      <w:r w:rsidR="0083395F">
        <w:rPr>
          <w:sz w:val="24"/>
          <w:szCs w:val="24"/>
        </w:rPr>
        <w:t xml:space="preserve">административния </w:t>
      </w:r>
      <w:r w:rsidR="000B74EF" w:rsidRPr="00AD2F50">
        <w:rPr>
          <w:sz w:val="24"/>
          <w:szCs w:val="24"/>
        </w:rPr>
        <w:t>договор за безвъзмездна финансова помощ.</w:t>
      </w:r>
      <w:r w:rsidR="000C54FD">
        <w:rPr>
          <w:sz w:val="24"/>
          <w:szCs w:val="24"/>
        </w:rPr>
        <w:t xml:space="preserve"> </w:t>
      </w:r>
    </w:p>
    <w:p w:rsidR="000B74EF" w:rsidRPr="00AD2F50" w:rsidRDefault="00AD2F50" w:rsidP="00A66E9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AD2F50">
        <w:rPr>
          <w:b/>
          <w:sz w:val="24"/>
          <w:szCs w:val="24"/>
        </w:rPr>
        <w:t xml:space="preserve">В случай че </w:t>
      </w:r>
      <w:r w:rsidR="003106A1">
        <w:rPr>
          <w:b/>
          <w:sz w:val="24"/>
          <w:szCs w:val="24"/>
        </w:rPr>
        <w:t>експертите</w:t>
      </w:r>
      <w:r w:rsidR="003106A1" w:rsidRPr="00AD2F50">
        <w:rPr>
          <w:b/>
          <w:sz w:val="24"/>
          <w:szCs w:val="24"/>
        </w:rPr>
        <w:t xml:space="preserve"> </w:t>
      </w:r>
      <w:r w:rsidRPr="00AD2F50">
        <w:rPr>
          <w:b/>
          <w:sz w:val="24"/>
          <w:szCs w:val="24"/>
        </w:rPr>
        <w:t>по т. 4 не бъдат наети на трудов договор в</w:t>
      </w:r>
      <w:r w:rsidRPr="00AD2F50">
        <w:rPr>
          <w:b/>
          <w:sz w:val="24"/>
          <w:szCs w:val="24"/>
          <w:lang w:val="pl-PL"/>
        </w:rPr>
        <w:t xml:space="preserve"> предприятието-кандидат</w:t>
      </w:r>
      <w:r w:rsidRPr="00AD2F50">
        <w:rPr>
          <w:b/>
          <w:sz w:val="24"/>
          <w:szCs w:val="24"/>
        </w:rPr>
        <w:t xml:space="preserve"> в рамките на един месец след сключване на </w:t>
      </w:r>
      <w:r w:rsidR="003D50F0">
        <w:rPr>
          <w:b/>
          <w:sz w:val="24"/>
          <w:szCs w:val="24"/>
        </w:rPr>
        <w:t xml:space="preserve">административния </w:t>
      </w:r>
      <w:r w:rsidRPr="00AD2F50">
        <w:rPr>
          <w:b/>
          <w:sz w:val="24"/>
          <w:szCs w:val="24"/>
        </w:rPr>
        <w:t xml:space="preserve">договор за безвъзмездна финансова помощ, </w:t>
      </w:r>
      <w:r w:rsidR="003D50F0" w:rsidRPr="009F3D8E">
        <w:rPr>
          <w:b/>
          <w:sz w:val="24"/>
          <w:szCs w:val="24"/>
          <w:u w:val="single"/>
        </w:rPr>
        <w:t xml:space="preserve">административният </w:t>
      </w:r>
      <w:r w:rsidRPr="009F3D8E">
        <w:rPr>
          <w:b/>
          <w:sz w:val="24"/>
          <w:szCs w:val="24"/>
          <w:u w:val="single"/>
        </w:rPr>
        <w:t>д</w:t>
      </w:r>
      <w:r w:rsidRPr="00B45462">
        <w:rPr>
          <w:b/>
          <w:sz w:val="24"/>
          <w:szCs w:val="24"/>
          <w:u w:val="single"/>
        </w:rPr>
        <w:t>оговор ще бъде прекратен.</w:t>
      </w:r>
    </w:p>
    <w:p w:rsidR="006E51B1" w:rsidRPr="00E66607" w:rsidRDefault="003106A1" w:rsidP="006E51B1">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Pr>
          <w:rFonts w:ascii="Calibri" w:eastAsia="Calibri" w:hAnsi="Calibri" w:cs="Times New Roman"/>
          <w:sz w:val="24"/>
          <w:szCs w:val="24"/>
        </w:rPr>
        <w:t xml:space="preserve">Експертите </w:t>
      </w:r>
      <w:r w:rsidR="007E3677">
        <w:rPr>
          <w:rFonts w:ascii="Calibri" w:eastAsia="Calibri" w:hAnsi="Calibri" w:cs="Times New Roman"/>
          <w:sz w:val="24"/>
          <w:szCs w:val="24"/>
        </w:rPr>
        <w:t>по т. 4</w:t>
      </w:r>
      <w:r w:rsidR="009B5FFA" w:rsidRPr="003C4AB6">
        <w:rPr>
          <w:rFonts w:ascii="Calibri" w:eastAsia="Calibri" w:hAnsi="Calibri" w:cs="Times New Roman"/>
          <w:sz w:val="24"/>
          <w:szCs w:val="24"/>
        </w:rPr>
        <w:t xml:space="preserve"> са длъжни да удостоверят</w:t>
      </w:r>
      <w:r w:rsidR="009B5FFA" w:rsidRPr="003C4AB6">
        <w:rPr>
          <w:rFonts w:ascii="Calibri" w:eastAsia="Calibri" w:hAnsi="Calibri" w:cs="Times New Roman"/>
          <w:sz w:val="24"/>
          <w:szCs w:val="24"/>
          <w:lang w:val="en-US"/>
        </w:rPr>
        <w:t xml:space="preserve"> </w:t>
      </w:r>
      <w:r w:rsidR="009B5FFA" w:rsidRPr="003C4AB6">
        <w:rPr>
          <w:rFonts w:ascii="Calibri" w:eastAsia="Calibri" w:hAnsi="Calibri" w:cs="Times New Roman"/>
          <w:sz w:val="24"/>
          <w:szCs w:val="24"/>
        </w:rPr>
        <w:t xml:space="preserve">на етап кандидатстване, че </w:t>
      </w:r>
      <w:r w:rsidR="00E9159D">
        <w:rPr>
          <w:rFonts w:ascii="Calibri" w:eastAsia="Calibri" w:hAnsi="Calibri" w:cs="Times New Roman"/>
          <w:sz w:val="24"/>
          <w:szCs w:val="24"/>
        </w:rPr>
        <w:t>ще участват</w:t>
      </w:r>
      <w:r w:rsidR="00B541E1">
        <w:rPr>
          <w:rFonts w:ascii="Calibri" w:eastAsia="Calibri" w:hAnsi="Calibri" w:cs="Times New Roman"/>
          <w:sz w:val="24"/>
          <w:szCs w:val="24"/>
        </w:rPr>
        <w:t xml:space="preserve"> в екипа на</w:t>
      </w:r>
      <w:r w:rsidR="00E9159D">
        <w:rPr>
          <w:rFonts w:ascii="Calibri" w:eastAsia="Calibri" w:hAnsi="Calibri" w:cs="Times New Roman"/>
          <w:sz w:val="24"/>
          <w:szCs w:val="24"/>
        </w:rPr>
        <w:t xml:space="preserve"> само едно проектно предложение на един кандидат</w:t>
      </w:r>
      <w:r w:rsidR="009B5FFA" w:rsidRPr="003C4AB6">
        <w:rPr>
          <w:rFonts w:ascii="Calibri" w:eastAsia="Calibri" w:hAnsi="Calibri" w:cs="Times New Roman"/>
          <w:sz w:val="24"/>
          <w:szCs w:val="24"/>
        </w:rPr>
        <w:t xml:space="preserve">, като попълнят и представят към проектните предложения Декларация за </w:t>
      </w:r>
      <w:r w:rsidR="00E9159D">
        <w:rPr>
          <w:rFonts w:ascii="Calibri" w:eastAsia="Calibri" w:hAnsi="Calibri" w:cs="Times New Roman"/>
          <w:sz w:val="24"/>
          <w:szCs w:val="24"/>
        </w:rPr>
        <w:t>участие в проектно предложение</w:t>
      </w:r>
      <w:r w:rsidR="009B5FFA" w:rsidRPr="003C4AB6">
        <w:rPr>
          <w:rFonts w:ascii="Calibri" w:eastAsia="Calibri" w:hAnsi="Calibri" w:cs="Times New Roman"/>
          <w:sz w:val="24"/>
          <w:szCs w:val="24"/>
        </w:rPr>
        <w:t xml:space="preserve"> (Приложение </w:t>
      </w:r>
      <w:r w:rsidR="00DD20EA">
        <w:rPr>
          <w:rFonts w:ascii="Calibri" w:eastAsia="Calibri" w:hAnsi="Calibri" w:cs="Times New Roman"/>
          <w:sz w:val="24"/>
          <w:szCs w:val="24"/>
        </w:rPr>
        <w:t>Ф</w:t>
      </w:r>
      <w:r w:rsidR="009B5FFA" w:rsidRPr="003C4AB6">
        <w:rPr>
          <w:rFonts w:ascii="Calibri" w:eastAsia="Calibri" w:hAnsi="Calibri" w:cs="Times New Roman"/>
          <w:sz w:val="24"/>
          <w:szCs w:val="24"/>
        </w:rPr>
        <w:t xml:space="preserve"> към </w:t>
      </w:r>
      <w:r w:rsidR="007B1E28">
        <w:rPr>
          <w:rFonts w:ascii="Calibri" w:eastAsia="Calibri" w:hAnsi="Calibri" w:cs="Times New Roman"/>
          <w:sz w:val="24"/>
          <w:szCs w:val="24"/>
        </w:rPr>
        <w:t>Условия</w:t>
      </w:r>
      <w:r w:rsidR="009B5FFA" w:rsidRPr="003C4AB6">
        <w:rPr>
          <w:rFonts w:ascii="Calibri" w:eastAsia="Calibri" w:hAnsi="Calibri" w:cs="Times New Roman"/>
          <w:sz w:val="24"/>
          <w:szCs w:val="24"/>
        </w:rPr>
        <w:t>т</w:t>
      </w:r>
      <w:r w:rsidR="00F53AB3">
        <w:rPr>
          <w:rFonts w:ascii="Calibri" w:eastAsia="Calibri" w:hAnsi="Calibri" w:cs="Times New Roman"/>
          <w:sz w:val="24"/>
          <w:szCs w:val="24"/>
        </w:rPr>
        <w:t>а</w:t>
      </w:r>
      <w:r w:rsidR="009B5FFA" w:rsidRPr="003C4AB6">
        <w:rPr>
          <w:rFonts w:ascii="Calibri" w:eastAsia="Calibri" w:hAnsi="Calibri" w:cs="Times New Roman"/>
          <w:sz w:val="24"/>
          <w:szCs w:val="24"/>
        </w:rPr>
        <w:t xml:space="preserve"> за кандидатстване).</w:t>
      </w:r>
      <w:r w:rsidR="00E66607">
        <w:rPr>
          <w:rFonts w:ascii="Calibri" w:eastAsia="Calibri" w:hAnsi="Calibri" w:cs="Times New Roman"/>
          <w:sz w:val="24"/>
          <w:szCs w:val="24"/>
        </w:rPr>
        <w:t xml:space="preserve"> П</w:t>
      </w:r>
      <w:r w:rsidR="006E51B1" w:rsidRPr="006E51B1">
        <w:rPr>
          <w:sz w:val="24"/>
          <w:szCs w:val="24"/>
        </w:rPr>
        <w:t xml:space="preserve">ри неспазване на горепосоченото ограничение, </w:t>
      </w:r>
      <w:r w:rsidR="00E66607">
        <w:rPr>
          <w:sz w:val="24"/>
          <w:szCs w:val="24"/>
        </w:rPr>
        <w:t xml:space="preserve">съответният </w:t>
      </w:r>
      <w:r w:rsidR="009A040E">
        <w:rPr>
          <w:sz w:val="24"/>
          <w:szCs w:val="24"/>
        </w:rPr>
        <w:t xml:space="preserve">експерт </w:t>
      </w:r>
      <w:r w:rsidR="00E66607">
        <w:rPr>
          <w:sz w:val="24"/>
          <w:szCs w:val="24"/>
        </w:rPr>
        <w:t>ще бъде изключен</w:t>
      </w:r>
      <w:r w:rsidR="00972D24">
        <w:rPr>
          <w:sz w:val="24"/>
          <w:szCs w:val="24"/>
        </w:rPr>
        <w:t xml:space="preserve"> </w:t>
      </w:r>
      <w:r w:rsidR="006E51B1" w:rsidRPr="006E51B1">
        <w:rPr>
          <w:sz w:val="24"/>
          <w:szCs w:val="24"/>
        </w:rPr>
        <w:t xml:space="preserve">от участие във всички </w:t>
      </w:r>
      <w:proofErr w:type="spellStart"/>
      <w:r w:rsidR="006E51B1" w:rsidRPr="006E51B1">
        <w:rPr>
          <w:sz w:val="24"/>
          <w:szCs w:val="24"/>
        </w:rPr>
        <w:t>последващи</w:t>
      </w:r>
      <w:proofErr w:type="spellEnd"/>
      <w:r w:rsidR="006E51B1" w:rsidRPr="006E51B1">
        <w:rPr>
          <w:sz w:val="24"/>
          <w:szCs w:val="24"/>
        </w:rPr>
        <w:t xml:space="preserve"> екипи след първия</w:t>
      </w:r>
      <w:r w:rsidR="004275E2">
        <w:rPr>
          <w:sz w:val="24"/>
          <w:szCs w:val="24"/>
        </w:rPr>
        <w:t>, п</w:t>
      </w:r>
      <w:r w:rsidR="004275E2" w:rsidRPr="004275E2">
        <w:rPr>
          <w:sz w:val="24"/>
          <w:szCs w:val="24"/>
        </w:rPr>
        <w:t>о реда на подаване на проектните предложения</w:t>
      </w:r>
      <w:r w:rsidR="006E51B1" w:rsidRPr="006E51B1">
        <w:rPr>
          <w:sz w:val="24"/>
          <w:szCs w:val="24"/>
        </w:rPr>
        <w:t>.</w:t>
      </w:r>
    </w:p>
    <w:p w:rsidR="000C1475" w:rsidRDefault="006A656A"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В случай че преди сключване на </w:t>
      </w:r>
      <w:r w:rsidR="00325268">
        <w:rPr>
          <w:sz w:val="24"/>
          <w:szCs w:val="24"/>
        </w:rPr>
        <w:t xml:space="preserve">административния </w:t>
      </w:r>
      <w:r w:rsidRPr="003C4AB6">
        <w:rPr>
          <w:sz w:val="24"/>
          <w:szCs w:val="24"/>
        </w:rPr>
        <w:t xml:space="preserve">договор за безвъзмездна финансова помощ </w:t>
      </w:r>
      <w:r w:rsidR="00241326">
        <w:rPr>
          <w:sz w:val="24"/>
          <w:szCs w:val="24"/>
        </w:rPr>
        <w:t>(по отношение на персонала по т. 1-3</w:t>
      </w:r>
      <w:r w:rsidR="003B6B93">
        <w:rPr>
          <w:sz w:val="24"/>
          <w:szCs w:val="24"/>
        </w:rPr>
        <w:t xml:space="preserve"> по-горе</w:t>
      </w:r>
      <w:r w:rsidR="00241326">
        <w:rPr>
          <w:sz w:val="24"/>
          <w:szCs w:val="24"/>
        </w:rPr>
        <w:t xml:space="preserve">) </w:t>
      </w:r>
      <w:r w:rsidRPr="003C4AB6">
        <w:rPr>
          <w:sz w:val="24"/>
          <w:szCs w:val="24"/>
        </w:rPr>
        <w:t>или по време на изпълнение на проекта настъпят промени в членовете от екипа на кандидата, кандидат</w:t>
      </w:r>
      <w:r w:rsidR="00184E31" w:rsidRPr="003C4AB6">
        <w:rPr>
          <w:sz w:val="24"/>
          <w:szCs w:val="24"/>
        </w:rPr>
        <w:t>ите следва да ги</w:t>
      </w:r>
      <w:r w:rsidRPr="003C4AB6">
        <w:rPr>
          <w:sz w:val="24"/>
          <w:szCs w:val="24"/>
        </w:rPr>
        <w:t xml:space="preserve"> заменят с </w:t>
      </w:r>
      <w:r w:rsidR="00184E31" w:rsidRPr="003C4AB6">
        <w:rPr>
          <w:sz w:val="24"/>
          <w:szCs w:val="24"/>
        </w:rPr>
        <w:t>членове</w:t>
      </w:r>
      <w:r w:rsidR="004F66D4" w:rsidRPr="003C4AB6">
        <w:rPr>
          <w:sz w:val="24"/>
          <w:szCs w:val="24"/>
        </w:rPr>
        <w:t>, кои</w:t>
      </w:r>
      <w:r w:rsidRPr="003C4AB6">
        <w:rPr>
          <w:sz w:val="24"/>
          <w:szCs w:val="24"/>
        </w:rPr>
        <w:t>то има</w:t>
      </w:r>
      <w:r w:rsidR="004F66D4" w:rsidRPr="003C4AB6">
        <w:rPr>
          <w:sz w:val="24"/>
          <w:szCs w:val="24"/>
        </w:rPr>
        <w:t>т еквивалентни</w:t>
      </w:r>
      <w:r w:rsidR="00D17858" w:rsidRPr="003C4AB6">
        <w:rPr>
          <w:sz w:val="24"/>
          <w:szCs w:val="24"/>
        </w:rPr>
        <w:t xml:space="preserve"> </w:t>
      </w:r>
      <w:r w:rsidR="009B5E9E" w:rsidRPr="003C4AB6">
        <w:rPr>
          <w:sz w:val="24"/>
          <w:szCs w:val="24"/>
        </w:rPr>
        <w:t xml:space="preserve">опит и образователно-квалификационно ниво </w:t>
      </w:r>
      <w:r w:rsidR="00785AD3" w:rsidRPr="003C4AB6">
        <w:rPr>
          <w:sz w:val="24"/>
          <w:szCs w:val="24"/>
        </w:rPr>
        <w:t xml:space="preserve">на оценените </w:t>
      </w:r>
      <w:r w:rsidR="009B5E9E" w:rsidRPr="003C4AB6">
        <w:rPr>
          <w:sz w:val="24"/>
          <w:szCs w:val="24"/>
        </w:rPr>
        <w:t xml:space="preserve">такива </w:t>
      </w:r>
      <w:r w:rsidR="00785AD3" w:rsidRPr="003C4AB6">
        <w:rPr>
          <w:sz w:val="24"/>
          <w:szCs w:val="24"/>
        </w:rPr>
        <w:t>съгласно критериите</w:t>
      </w:r>
      <w:r w:rsidR="002F4D09" w:rsidRPr="003C4AB6">
        <w:rPr>
          <w:sz w:val="24"/>
          <w:szCs w:val="24"/>
        </w:rPr>
        <w:t xml:space="preserve"> по </w:t>
      </w:r>
      <w:r w:rsidR="008B4992">
        <w:rPr>
          <w:sz w:val="24"/>
          <w:szCs w:val="24"/>
        </w:rPr>
        <w:t>Р</w:t>
      </w:r>
      <w:r w:rsidR="002F4D09" w:rsidRPr="003C4AB6">
        <w:rPr>
          <w:sz w:val="24"/>
          <w:szCs w:val="24"/>
        </w:rPr>
        <w:t>аздел II „Иновативен капацитет на екипа на кандидата и степен на техническа готовност“</w:t>
      </w:r>
      <w:r w:rsidR="00E341B6" w:rsidRPr="00E341B6">
        <w:rPr>
          <w:sz w:val="24"/>
          <w:szCs w:val="24"/>
        </w:rPr>
        <w:t xml:space="preserve"> </w:t>
      </w:r>
      <w:r w:rsidR="00E341B6">
        <w:rPr>
          <w:sz w:val="24"/>
          <w:szCs w:val="24"/>
        </w:rPr>
        <w:t>от критериите за техническа и финансова оценка</w:t>
      </w:r>
      <w:r w:rsidR="009B5E9E" w:rsidRPr="003C4AB6">
        <w:rPr>
          <w:sz w:val="24"/>
          <w:szCs w:val="24"/>
        </w:rPr>
        <w:t>.</w:t>
      </w:r>
      <w:r w:rsidR="00785AD3" w:rsidRPr="003C4AB6">
        <w:rPr>
          <w:sz w:val="24"/>
          <w:szCs w:val="24"/>
        </w:rPr>
        <w:t xml:space="preserve"> </w:t>
      </w:r>
    </w:p>
    <w:p w:rsidR="00B65E61" w:rsidRPr="00B65E61" w:rsidRDefault="00B65E61"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 xml:space="preserve">ВАЖНО: </w:t>
      </w:r>
      <w:r w:rsidR="004154C8" w:rsidRPr="00F05898">
        <w:rPr>
          <w:sz w:val="24"/>
          <w:szCs w:val="24"/>
        </w:rPr>
        <w:t>Освен лицата</w:t>
      </w:r>
      <w:r w:rsidR="00F05898" w:rsidRPr="00F05898">
        <w:rPr>
          <w:sz w:val="24"/>
          <w:szCs w:val="24"/>
        </w:rPr>
        <w:t xml:space="preserve">, посочени в т. 1-4 по-горе, </w:t>
      </w:r>
      <w:r w:rsidR="00F05898">
        <w:rPr>
          <w:sz w:val="24"/>
          <w:szCs w:val="24"/>
        </w:rPr>
        <w:t>к</w:t>
      </w:r>
      <w:r w:rsidR="00C63C55">
        <w:rPr>
          <w:sz w:val="24"/>
          <w:szCs w:val="24"/>
        </w:rPr>
        <w:t xml:space="preserve">андидатите могат да наемат </w:t>
      </w:r>
      <w:r w:rsidR="00302E1D">
        <w:rPr>
          <w:sz w:val="24"/>
          <w:szCs w:val="24"/>
        </w:rPr>
        <w:t xml:space="preserve">на трудов договор </w:t>
      </w:r>
      <w:r w:rsidR="00C63C55">
        <w:rPr>
          <w:sz w:val="24"/>
          <w:szCs w:val="24"/>
        </w:rPr>
        <w:t xml:space="preserve">и допълнителен </w:t>
      </w:r>
      <w:r w:rsidR="00C63C55" w:rsidRPr="00C63C55">
        <w:rPr>
          <w:sz w:val="24"/>
          <w:szCs w:val="24"/>
        </w:rPr>
        <w:t>квалифициран персонал, необходим за изпълнението на</w:t>
      </w:r>
      <w:r w:rsidR="007568E0">
        <w:rPr>
          <w:sz w:val="24"/>
          <w:szCs w:val="24"/>
        </w:rPr>
        <w:t xml:space="preserve"> </w:t>
      </w:r>
      <w:r w:rsidR="00C63C55" w:rsidRPr="00C63C55">
        <w:rPr>
          <w:sz w:val="24"/>
          <w:szCs w:val="24"/>
        </w:rPr>
        <w:t>проекта</w:t>
      </w:r>
      <w:r w:rsidR="00302E1D">
        <w:rPr>
          <w:sz w:val="24"/>
          <w:szCs w:val="24"/>
        </w:rPr>
        <w:t>. В</w:t>
      </w:r>
      <w:r w:rsidRPr="00FF3640">
        <w:rPr>
          <w:sz w:val="24"/>
          <w:szCs w:val="24"/>
        </w:rPr>
        <w:t xml:space="preserve"> т. 9 „Екип“ от Формуляра за кандидатстване, кандидатите следва задължително да включат информация за изискванията по отношение на образование, квалификация, професионален опит, функции (отговорности и задължения) и период на заетост на </w:t>
      </w:r>
      <w:r w:rsidR="00302E1D">
        <w:rPr>
          <w:sz w:val="24"/>
          <w:szCs w:val="24"/>
        </w:rPr>
        <w:t xml:space="preserve">този </w:t>
      </w:r>
      <w:r w:rsidRPr="00FF3640">
        <w:rPr>
          <w:sz w:val="24"/>
          <w:szCs w:val="24"/>
        </w:rPr>
        <w:t xml:space="preserve">персонал. В случай че преди сключване на </w:t>
      </w:r>
      <w:r w:rsidR="009F3D8E">
        <w:rPr>
          <w:sz w:val="24"/>
          <w:szCs w:val="24"/>
        </w:rPr>
        <w:t xml:space="preserve">административния </w:t>
      </w:r>
      <w:r w:rsidRPr="00FF3640">
        <w:rPr>
          <w:sz w:val="24"/>
          <w:szCs w:val="24"/>
        </w:rPr>
        <w:t xml:space="preserve">договор за безвъзмездна финансова помощ или по време на изпълнение на проекта настъпят промени в наетия със средства по проекта </w:t>
      </w:r>
      <w:r w:rsidRPr="00D912E3">
        <w:rPr>
          <w:sz w:val="24"/>
          <w:szCs w:val="24"/>
        </w:rPr>
        <w:t>персонал, кандидатите следва да го заменят с персонал, който има еквивалентни образование, квалификация, професионален опит, функции (отговорности и задължения) и период на заетост на</w:t>
      </w:r>
      <w:r w:rsidRPr="003C4AB6">
        <w:rPr>
          <w:sz w:val="24"/>
          <w:szCs w:val="24"/>
        </w:rPr>
        <w:t xml:space="preserve"> посочените във Формуляра за кандидатстване.</w:t>
      </w:r>
    </w:p>
    <w:p w:rsidR="00A66E9A" w:rsidRPr="003C4AB6" w:rsidRDefault="00732E8F" w:rsidP="00A66E9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2/</w:t>
      </w:r>
      <w:r w:rsidR="006C1418" w:rsidRPr="003C4AB6">
        <w:rPr>
          <w:b/>
          <w:sz w:val="24"/>
          <w:szCs w:val="24"/>
          <w:lang w:val="en-US"/>
        </w:rPr>
        <w:t xml:space="preserve"> </w:t>
      </w:r>
      <w:r w:rsidR="00A66E9A" w:rsidRPr="003C4AB6">
        <w:rPr>
          <w:sz w:val="24"/>
          <w:szCs w:val="24"/>
        </w:rPr>
        <w:t>Разходи за придобиване на машини, съоръжения и оборудване, представляващи дълготрайни материални активи</w:t>
      </w:r>
      <w:r w:rsidR="00E92DF1" w:rsidRPr="003C4AB6">
        <w:rPr>
          <w:rStyle w:val="FootnoteReference"/>
          <w:sz w:val="24"/>
          <w:szCs w:val="24"/>
        </w:rPr>
        <w:footnoteReference w:id="12"/>
      </w:r>
      <w:r w:rsidR="00A66E9A" w:rsidRPr="003C4AB6">
        <w:rPr>
          <w:sz w:val="24"/>
          <w:szCs w:val="24"/>
        </w:rPr>
        <w:t>, необходими за изпълнението на дейностите по проекта</w:t>
      </w:r>
      <w:r w:rsidR="005A794F" w:rsidRPr="003C4AB6">
        <w:rPr>
          <w:sz w:val="24"/>
          <w:szCs w:val="24"/>
        </w:rPr>
        <w:t xml:space="preserve"> – </w:t>
      </w:r>
      <w:r w:rsidR="005A794F" w:rsidRPr="003C4AB6">
        <w:rPr>
          <w:b/>
          <w:sz w:val="24"/>
          <w:szCs w:val="24"/>
        </w:rPr>
        <w:t xml:space="preserve">до </w:t>
      </w:r>
      <w:r w:rsidR="00FF4275">
        <w:rPr>
          <w:b/>
          <w:sz w:val="24"/>
          <w:szCs w:val="24"/>
          <w:lang w:val="en-US"/>
        </w:rPr>
        <w:t>10</w:t>
      </w:r>
      <w:r w:rsidR="005A794F" w:rsidRPr="003C4AB6">
        <w:rPr>
          <w:b/>
          <w:sz w:val="24"/>
          <w:szCs w:val="24"/>
        </w:rPr>
        <w:t>0 000 лева</w:t>
      </w:r>
      <w:r w:rsidR="00A66E9A" w:rsidRPr="003C4AB6">
        <w:rPr>
          <w:b/>
          <w:sz w:val="24"/>
          <w:szCs w:val="24"/>
        </w:rPr>
        <w:t>;</w:t>
      </w:r>
    </w:p>
    <w:p w:rsidR="00AE2EA7" w:rsidRPr="003C4AB6" w:rsidRDefault="003965EE" w:rsidP="00A66E9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lastRenderedPageBreak/>
        <w:t>3/</w:t>
      </w:r>
      <w:r w:rsidR="006C1418" w:rsidRPr="003C4AB6">
        <w:rPr>
          <w:b/>
          <w:sz w:val="24"/>
          <w:szCs w:val="24"/>
          <w:lang w:val="en-US"/>
        </w:rPr>
        <w:t xml:space="preserve"> </w:t>
      </w:r>
      <w:r w:rsidR="00A66E9A" w:rsidRPr="003C4AB6">
        <w:rPr>
          <w:sz w:val="24"/>
          <w:szCs w:val="24"/>
        </w:rPr>
        <w:t>Разходи за придобиване на дълготрайни нематериални активи</w:t>
      </w:r>
      <w:r w:rsidR="00DB5B0B" w:rsidRPr="003C4AB6">
        <w:rPr>
          <w:rStyle w:val="FootnoteReference"/>
          <w:sz w:val="24"/>
          <w:szCs w:val="24"/>
        </w:rPr>
        <w:footnoteReference w:id="13"/>
      </w:r>
      <w:r w:rsidR="00D500BE" w:rsidRPr="003C4AB6">
        <w:rPr>
          <w:sz w:val="24"/>
          <w:szCs w:val="24"/>
        </w:rPr>
        <w:t xml:space="preserve"> (вкл. разходи за разработване на софтуер)</w:t>
      </w:r>
      <w:r w:rsidR="00A66E9A" w:rsidRPr="003C4AB6">
        <w:rPr>
          <w:sz w:val="24"/>
          <w:szCs w:val="24"/>
        </w:rPr>
        <w:t>, необходими за изпълнението на дейностите по проекта</w:t>
      </w:r>
      <w:r w:rsidR="00DB5B0B" w:rsidRPr="003C4AB6">
        <w:rPr>
          <w:sz w:val="24"/>
          <w:szCs w:val="24"/>
        </w:rPr>
        <w:t>.</w:t>
      </w:r>
    </w:p>
    <w:p w:rsidR="001C4822" w:rsidRPr="003C4AB6" w:rsidRDefault="00845E3E" w:rsidP="001E2230">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ВАЖНО:</w:t>
      </w:r>
      <w:r w:rsidRPr="003C4AB6">
        <w:rPr>
          <w:sz w:val="24"/>
          <w:szCs w:val="24"/>
        </w:rPr>
        <w:t xml:space="preserve"> </w:t>
      </w:r>
      <w:r w:rsidR="001C4822" w:rsidRPr="003C4AB6">
        <w:rPr>
          <w:sz w:val="24"/>
          <w:szCs w:val="24"/>
        </w:rPr>
        <w:t xml:space="preserve">Дълготрайните материални и нематериални активи, придобити със средства по проекта, следва да бъдат използвани единствено в стопанския обект, който получава помощта, да бъдат </w:t>
      </w:r>
      <w:proofErr w:type="spellStart"/>
      <w:r w:rsidR="001C4822" w:rsidRPr="003C4AB6">
        <w:rPr>
          <w:sz w:val="24"/>
          <w:szCs w:val="24"/>
        </w:rPr>
        <w:t>амортизируеми</w:t>
      </w:r>
      <w:proofErr w:type="spellEnd"/>
      <w:r w:rsidR="001C4822" w:rsidRPr="003C4AB6">
        <w:rPr>
          <w:sz w:val="24"/>
          <w:szCs w:val="24"/>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w:t>
      </w:r>
      <w:r w:rsidR="002C5DC6" w:rsidRPr="003C4AB6">
        <w:rPr>
          <w:sz w:val="24"/>
          <w:szCs w:val="24"/>
        </w:rPr>
        <w:t xml:space="preserve">пет години или </w:t>
      </w:r>
      <w:r w:rsidR="001C4822" w:rsidRPr="003C4AB6">
        <w:rPr>
          <w:sz w:val="24"/>
          <w:szCs w:val="24"/>
        </w:rPr>
        <w:t>три години</w:t>
      </w:r>
      <w:r w:rsidR="002C5DC6" w:rsidRPr="003C4AB6">
        <w:rPr>
          <w:sz w:val="24"/>
          <w:szCs w:val="24"/>
        </w:rPr>
        <w:t xml:space="preserve"> в случай на МСП</w:t>
      </w:r>
      <w:r w:rsidR="001C4822" w:rsidRPr="003C4AB6">
        <w:rPr>
          <w:sz w:val="24"/>
          <w:szCs w:val="24"/>
        </w:rPr>
        <w:t>.</w:t>
      </w:r>
      <w:r w:rsidR="007A66DA" w:rsidRPr="003C4AB6">
        <w:rPr>
          <w:rFonts w:ascii="Calibri" w:eastAsia="Calibri" w:hAnsi="Calibri" w:cs="Times New Roman"/>
          <w:sz w:val="24"/>
          <w:szCs w:val="24"/>
        </w:rPr>
        <w:t xml:space="preserve"> Придобитите активи следва да са нови (неупотребявани) и да са заведени за първи път от получателя на помощта (закупени от първи доставчик или производител).</w:t>
      </w:r>
    </w:p>
    <w:p w:rsidR="001B4D64" w:rsidRPr="003C4AB6" w:rsidRDefault="001C4822" w:rsidP="00C81556">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Допустимо е и придобиването на посочените активи чрез договор за краткосрочен </w:t>
      </w:r>
      <w:r w:rsidRPr="003C4AB6">
        <w:rPr>
          <w:b/>
          <w:sz w:val="24"/>
          <w:szCs w:val="24"/>
        </w:rPr>
        <w:t>финансов лизинг</w:t>
      </w:r>
      <w:r w:rsidRPr="003C4AB6">
        <w:rPr>
          <w:sz w:val="24"/>
          <w:szCs w:val="24"/>
        </w:rPr>
        <w:t xml:space="preserve">, </w:t>
      </w:r>
      <w:r w:rsidR="00C81556" w:rsidRPr="003C4AB6">
        <w:rPr>
          <w:sz w:val="24"/>
          <w:szCs w:val="24"/>
        </w:rPr>
        <w:t>в който се съдържа задължението бенефициентът да закупи актива след изтичането на договора за лизинг</w:t>
      </w:r>
      <w:r w:rsidR="00BF17A2" w:rsidRPr="003C4AB6">
        <w:rPr>
          <w:sz w:val="24"/>
          <w:szCs w:val="24"/>
        </w:rPr>
        <w:t xml:space="preserve">, </w:t>
      </w:r>
      <w:r w:rsidR="00BF17A2" w:rsidRPr="003C4AB6">
        <w:rPr>
          <w:rFonts w:ascii="Calibri" w:eastAsia="Calibri" w:hAnsi="Calibri" w:cs="Times New Roman"/>
          <w:sz w:val="24"/>
          <w:szCs w:val="24"/>
        </w:rPr>
        <w:t>но не по- късно от крайния срок</w:t>
      </w:r>
      <w:r w:rsidR="00D815E7" w:rsidRPr="003C4AB6">
        <w:rPr>
          <w:rFonts w:ascii="Calibri" w:eastAsia="Calibri" w:hAnsi="Calibri" w:cs="Times New Roman"/>
          <w:sz w:val="24"/>
          <w:szCs w:val="24"/>
        </w:rPr>
        <w:t xml:space="preserve"> </w:t>
      </w:r>
      <w:r w:rsidR="00BF17A2" w:rsidRPr="003C4AB6">
        <w:rPr>
          <w:rFonts w:ascii="Calibri" w:eastAsia="Calibri" w:hAnsi="Calibri" w:cs="Times New Roman"/>
          <w:sz w:val="24"/>
          <w:szCs w:val="24"/>
        </w:rPr>
        <w:t>на изпълнение на проекта.</w:t>
      </w:r>
      <w:r w:rsidR="00C81556" w:rsidRPr="003C4AB6">
        <w:rPr>
          <w:sz w:val="24"/>
          <w:szCs w:val="24"/>
        </w:rPr>
        <w:t xml:space="preserve"> </w:t>
      </w:r>
      <w:r w:rsidR="00C81556" w:rsidRPr="00F00F0E">
        <w:rPr>
          <w:sz w:val="24"/>
          <w:szCs w:val="24"/>
        </w:rPr>
        <w:t>Придобиването чрез финансов лизинг е допустимо при спазване на условията на чл. 19, ал. 1 и ал. 3 на ПМС №</w:t>
      </w:r>
      <w:r w:rsidR="00646ACA" w:rsidRPr="00F00F0E">
        <w:rPr>
          <w:sz w:val="24"/>
          <w:szCs w:val="24"/>
        </w:rPr>
        <w:t xml:space="preserve"> </w:t>
      </w:r>
      <w:r w:rsidR="00C81556" w:rsidRPr="00F00F0E">
        <w:rPr>
          <w:sz w:val="24"/>
          <w:szCs w:val="24"/>
        </w:rPr>
        <w:t>119/</w:t>
      </w:r>
      <w:r w:rsidR="0017789F" w:rsidRPr="00F00F0E">
        <w:rPr>
          <w:sz w:val="24"/>
          <w:szCs w:val="24"/>
        </w:rPr>
        <w:t>2014 г.</w:t>
      </w:r>
      <w:r w:rsidR="00F243BC" w:rsidRPr="00F00F0E">
        <w:rPr>
          <w:rStyle w:val="FootnoteReference"/>
          <w:sz w:val="24"/>
          <w:szCs w:val="24"/>
        </w:rPr>
        <w:footnoteReference w:id="14"/>
      </w:r>
      <w:r w:rsidRPr="003C4AB6">
        <w:rPr>
          <w:sz w:val="24"/>
          <w:szCs w:val="24"/>
        </w:rPr>
        <w:t xml:space="preserve"> Бенефициентът може да придобие собствеността върху даден актив или чрез договор за финансов лизинг или чрез договор за покупка.</w:t>
      </w:r>
    </w:p>
    <w:p w:rsidR="00A87A77" w:rsidRPr="003C4AB6" w:rsidRDefault="00A87A77" w:rsidP="00A87A7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4/</w:t>
      </w:r>
      <w:r w:rsidRPr="003C4AB6">
        <w:rPr>
          <w:sz w:val="24"/>
          <w:szCs w:val="24"/>
        </w:rPr>
        <w:t xml:space="preserve"> Разходи за консумативи и материали, необходими за създаване и тестване на прототипи и пилотни линии</w:t>
      </w:r>
      <w:r w:rsidR="006D13F1" w:rsidRPr="003C4AB6">
        <w:rPr>
          <w:sz w:val="24"/>
          <w:szCs w:val="24"/>
        </w:rPr>
        <w:t xml:space="preserve"> - допустими само в случай че създаването и тестването се извършва от кандидата</w:t>
      </w:r>
      <w:r w:rsidRPr="003C4AB6">
        <w:rPr>
          <w:sz w:val="24"/>
          <w:szCs w:val="24"/>
        </w:rPr>
        <w:t>;</w:t>
      </w:r>
    </w:p>
    <w:p w:rsidR="00A87A77" w:rsidRPr="003C4AB6" w:rsidRDefault="00A87A77" w:rsidP="00A87A7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5/</w:t>
      </w:r>
      <w:r w:rsidRPr="003C4AB6">
        <w:rPr>
          <w:sz w:val="24"/>
          <w:szCs w:val="24"/>
        </w:rPr>
        <w:t xml:space="preserve"> Разходи за наем на помещения, необходими за извършване на приложни научни изследвания, тествания, изпитвания и измервания, както и за създаване и тестване на прототипи и пилотни линии;</w:t>
      </w:r>
    </w:p>
    <w:p w:rsidR="00F720CE" w:rsidRPr="003C4AB6" w:rsidRDefault="00F720CE" w:rsidP="00F720C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6/</w:t>
      </w:r>
      <w:r w:rsidRPr="003C4AB6">
        <w:rPr>
          <w:sz w:val="24"/>
          <w:szCs w:val="24"/>
        </w:rPr>
        <w:t xml:space="preserve"> Разходи за външни услуги за: </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извършване на приложни научни изследвания, тествания, изпитвания и измервания (вкл. създаване на програми и методики), свързани с разработването на иновативния продукт или процес;</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защита на интелектуална собственост на национално и международно равнище (вкл. такси за регистрация на патент, полезен модел или промишлен дизайн);</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създаване и тестване на прототипи и пилотни линии;</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изработване на икономическа оценка, финансова оценка и техническа оценка</w:t>
      </w:r>
      <w:r w:rsidR="001A207A" w:rsidRPr="003C4AB6">
        <w:rPr>
          <w:sz w:val="24"/>
          <w:szCs w:val="24"/>
        </w:rPr>
        <w:t xml:space="preserve"> (вкл. инвестиционен бизнес план)</w:t>
      </w:r>
      <w:r w:rsidRPr="003C4AB6">
        <w:rPr>
          <w:sz w:val="24"/>
          <w:szCs w:val="24"/>
        </w:rPr>
        <w:t xml:space="preserve"> на разработвания иновативен продукт или процес;</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lastRenderedPageBreak/>
        <w:t>• разработване на технологии за производство на иновативния продукт или процес;</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изработване на пазарни анализи и проучвания, маркетингови планове за пазарна реализация на иновативния продукт или процес; </w:t>
      </w:r>
    </w:p>
    <w:p w:rsidR="00F720CE" w:rsidRPr="003C4AB6" w:rsidRDefault="00F720CE" w:rsidP="00F720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наем на зали и техника за организиране на </w:t>
      </w:r>
      <w:proofErr w:type="spellStart"/>
      <w:r w:rsidRPr="003C4AB6">
        <w:rPr>
          <w:sz w:val="24"/>
          <w:szCs w:val="24"/>
        </w:rPr>
        <w:t>промоционални</w:t>
      </w:r>
      <w:proofErr w:type="spellEnd"/>
      <w:r w:rsidRPr="003C4AB6">
        <w:rPr>
          <w:sz w:val="24"/>
          <w:szCs w:val="24"/>
        </w:rPr>
        <w:t xml:space="preserve"> събития в България за популяризиране на иновативния продукт или процес;</w:t>
      </w:r>
    </w:p>
    <w:p w:rsidR="005570CB" w:rsidRPr="003C4AB6" w:rsidRDefault="005570CB" w:rsidP="005570C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7/</w:t>
      </w:r>
      <w:r w:rsidRPr="003C4AB6">
        <w:rPr>
          <w:sz w:val="24"/>
          <w:szCs w:val="24"/>
        </w:rPr>
        <w:t xml:space="preserve"> Разходи за командировки в страната</w:t>
      </w:r>
      <w:r w:rsidR="00E22E3B">
        <w:rPr>
          <w:sz w:val="24"/>
          <w:szCs w:val="24"/>
        </w:rPr>
        <w:t xml:space="preserve"> и чужбина</w:t>
      </w:r>
      <w:r w:rsidRPr="003C4AB6">
        <w:rPr>
          <w:sz w:val="24"/>
          <w:szCs w:val="24"/>
        </w:rPr>
        <w:t xml:space="preserve"> (пътни, дневни и квартирни) на персонала на предприятието, разработващ иновацията, необходими за изпълн</w:t>
      </w:r>
      <w:r w:rsidR="00407549" w:rsidRPr="003C4AB6">
        <w:rPr>
          <w:sz w:val="24"/>
          <w:szCs w:val="24"/>
        </w:rPr>
        <w:t>ението на дейностите по проекта;</w:t>
      </w:r>
    </w:p>
    <w:p w:rsidR="001D6ECC" w:rsidRPr="001D6ECC" w:rsidRDefault="001D6ECC" w:rsidP="001D6ECC">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1D6ECC">
        <w:rPr>
          <w:rFonts w:ascii="Calibri" w:eastAsia="Calibri" w:hAnsi="Calibri" w:cs="Times New Roman"/>
          <w:sz w:val="24"/>
          <w:szCs w:val="24"/>
        </w:rPr>
        <w:t>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 Максималният размер на разходите за дневни и квартирни при командировки в чужбина не следва да превишава размера, указан в Приложение 2 на Наредбата за служебните командировки и специализации в чужбина.</w:t>
      </w:r>
    </w:p>
    <w:p w:rsidR="00DD3315" w:rsidRPr="003C4AB6" w:rsidRDefault="005570CB" w:rsidP="005570C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8/</w:t>
      </w:r>
      <w:r w:rsidRPr="003C4AB6">
        <w:rPr>
          <w:sz w:val="24"/>
          <w:szCs w:val="24"/>
        </w:rPr>
        <w:t xml:space="preserve"> Разходи за визуализация</w:t>
      </w:r>
      <w:r w:rsidR="00452C9E" w:rsidRPr="003C4AB6">
        <w:rPr>
          <w:sz w:val="24"/>
          <w:szCs w:val="24"/>
        </w:rPr>
        <w:t xml:space="preserve"> – </w:t>
      </w:r>
      <w:r w:rsidR="00452C9E" w:rsidRPr="003C4AB6">
        <w:rPr>
          <w:b/>
          <w:sz w:val="24"/>
          <w:szCs w:val="24"/>
        </w:rPr>
        <w:t>до 2000 лева</w:t>
      </w:r>
      <w:r w:rsidR="00407549" w:rsidRPr="003C4AB6">
        <w:rPr>
          <w:b/>
          <w:sz w:val="24"/>
          <w:szCs w:val="24"/>
        </w:rPr>
        <w:t>.</w:t>
      </w:r>
    </w:p>
    <w:p w:rsidR="00E55332" w:rsidRPr="003C4AB6" w:rsidRDefault="00E55332" w:rsidP="00E553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Когато кандидатът</w:t>
      </w:r>
      <w:r w:rsidR="00CE4ED5" w:rsidRPr="003C4AB6">
        <w:rPr>
          <w:sz w:val="24"/>
          <w:szCs w:val="24"/>
        </w:rPr>
        <w:t xml:space="preserve"> упражнява </w:t>
      </w:r>
      <w:r w:rsidRPr="003C4AB6">
        <w:rPr>
          <w:sz w:val="24"/>
          <w:szCs w:val="24"/>
        </w:rPr>
        <w:t xml:space="preserve">дейност в недопустимите сектори </w:t>
      </w:r>
      <w:r w:rsidR="00437FAE" w:rsidRPr="003C4AB6">
        <w:rPr>
          <w:sz w:val="24"/>
          <w:szCs w:val="24"/>
        </w:rPr>
        <w:t>по т. 11.2, 2</w:t>
      </w:r>
      <w:r w:rsidR="008B2DC4" w:rsidRPr="003C4AB6">
        <w:rPr>
          <w:sz w:val="24"/>
          <w:szCs w:val="24"/>
        </w:rPr>
        <w:t>А</w:t>
      </w:r>
      <w:r w:rsidR="001172D3" w:rsidRPr="003C4AB6">
        <w:rPr>
          <w:sz w:val="24"/>
          <w:szCs w:val="24"/>
        </w:rPr>
        <w:t>, но е допустим кандидат по настоящата процедура</w:t>
      </w:r>
      <w:r w:rsidRPr="003C4AB6">
        <w:rPr>
          <w:sz w:val="24"/>
          <w:szCs w:val="24"/>
        </w:rPr>
        <w:t>, безвъзмездната п</w:t>
      </w:r>
      <w:r w:rsidR="001172D3" w:rsidRPr="003C4AB6">
        <w:rPr>
          <w:sz w:val="24"/>
          <w:szCs w:val="24"/>
        </w:rPr>
        <w:t xml:space="preserve">омощ </w:t>
      </w:r>
      <w:r w:rsidRPr="003C4AB6">
        <w:rPr>
          <w:sz w:val="24"/>
          <w:szCs w:val="24"/>
        </w:rPr>
        <w:t>се предоставя само за дейностите в допустимите сектори, като кандидат</w:t>
      </w:r>
      <w:r w:rsidR="00185C40" w:rsidRPr="003C4AB6">
        <w:rPr>
          <w:sz w:val="24"/>
          <w:szCs w:val="24"/>
        </w:rPr>
        <w:t>ът</w:t>
      </w:r>
      <w:r w:rsidRPr="003C4AB6">
        <w:rPr>
          <w:sz w:val="24"/>
          <w:szCs w:val="24"/>
        </w:rPr>
        <w:t>/бенефициент</w:t>
      </w:r>
      <w:r w:rsidR="00185C40" w:rsidRPr="003C4AB6">
        <w:rPr>
          <w:sz w:val="24"/>
          <w:szCs w:val="24"/>
        </w:rPr>
        <w:t>ът</w:t>
      </w:r>
      <w:r w:rsidRPr="003C4AB6">
        <w:rPr>
          <w:sz w:val="24"/>
          <w:szCs w:val="24"/>
        </w:rPr>
        <w:t xml:space="preserve">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 предоставена по настоящата процедура.</w:t>
      </w:r>
    </w:p>
    <w:p w:rsidR="008D1FB2" w:rsidRPr="003C4AB6" w:rsidRDefault="008D1FB2" w:rsidP="00E553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0296A" w:rsidRPr="003C4AB6" w:rsidRDefault="005B3B84" w:rsidP="005B3B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С оглед горното кандидатът представя, като условие за плащане при първото междинно плащане, при промяна или, ако няма междинни плащания, при окончателно плащане индивидуален сметкоплан утвърден от ръководството на предприятието с включени в него обособените счетоводни сметки /</w:t>
      </w:r>
      <w:proofErr w:type="spellStart"/>
      <w:r w:rsidRPr="003C4AB6">
        <w:rPr>
          <w:sz w:val="24"/>
          <w:szCs w:val="24"/>
        </w:rPr>
        <w:t>подсметки</w:t>
      </w:r>
      <w:proofErr w:type="spellEnd"/>
      <w:r w:rsidRPr="003C4AB6">
        <w:rPr>
          <w:sz w:val="24"/>
          <w:szCs w:val="24"/>
        </w:rPr>
        <w:t xml:space="preserve">/ специално открити за проекта. </w:t>
      </w:r>
      <w:r w:rsidR="00C50299" w:rsidRPr="003C4AB6">
        <w:rPr>
          <w:sz w:val="24"/>
          <w:szCs w:val="24"/>
        </w:rPr>
        <w:t>От извлеченията/счетоводните записи по посочените в индивидуалния сметкоплан сметки следва да е видно разграничаването на разходите</w:t>
      </w:r>
      <w:r w:rsidR="004B5A52" w:rsidRPr="003C4AB6">
        <w:rPr>
          <w:sz w:val="24"/>
          <w:szCs w:val="24"/>
        </w:rPr>
        <w:t>,</w:t>
      </w:r>
      <w:r w:rsidRPr="003C4AB6">
        <w:rPr>
          <w:sz w:val="24"/>
          <w:szCs w:val="24"/>
        </w:rPr>
        <w:t xml:space="preserve"> така че дейностите в </w:t>
      </w:r>
      <w:r w:rsidR="00E263D6" w:rsidRPr="003C4AB6">
        <w:rPr>
          <w:sz w:val="24"/>
          <w:szCs w:val="24"/>
        </w:rPr>
        <w:t>недопустими</w:t>
      </w:r>
      <w:r w:rsidR="004B5A52" w:rsidRPr="003C4AB6">
        <w:rPr>
          <w:sz w:val="24"/>
          <w:szCs w:val="24"/>
        </w:rPr>
        <w:t>те</w:t>
      </w:r>
      <w:r w:rsidR="00E263D6" w:rsidRPr="003C4AB6">
        <w:rPr>
          <w:sz w:val="24"/>
          <w:szCs w:val="24"/>
        </w:rPr>
        <w:t xml:space="preserve"> сектори съгласно </w:t>
      </w:r>
      <w:r w:rsidR="004B5A52" w:rsidRPr="003C4AB6">
        <w:rPr>
          <w:sz w:val="24"/>
          <w:szCs w:val="24"/>
        </w:rPr>
        <w:t>Регламент на Комисията (ЕС) № 1407/2013</w:t>
      </w:r>
      <w:r w:rsidRPr="003C4AB6">
        <w:rPr>
          <w:sz w:val="24"/>
          <w:szCs w:val="24"/>
        </w:rPr>
        <w:t xml:space="preserve"> да не се ползват от безвъзмездната помощ по процедурата.</w:t>
      </w:r>
    </w:p>
    <w:p w:rsidR="009C117E" w:rsidRPr="003C4AB6" w:rsidRDefault="009C117E" w:rsidP="005B3B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C117E" w:rsidRPr="003C4AB6" w:rsidRDefault="009C117E" w:rsidP="005B3B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b/>
          <w:sz w:val="24"/>
          <w:szCs w:val="24"/>
        </w:rPr>
        <w:t xml:space="preserve">ВАЖНО: </w:t>
      </w:r>
      <w:r w:rsidR="003A4453" w:rsidRPr="003C4AB6">
        <w:rPr>
          <w:sz w:val="24"/>
          <w:szCs w:val="24"/>
        </w:rPr>
        <w:t xml:space="preserve">Когато кандидатът упражнява едновременно дейност в недопустимите сектори </w:t>
      </w:r>
      <w:r w:rsidR="008B2DC4" w:rsidRPr="003C4AB6">
        <w:rPr>
          <w:sz w:val="24"/>
          <w:szCs w:val="24"/>
        </w:rPr>
        <w:t xml:space="preserve">по т. 11.2, 2А </w:t>
      </w:r>
      <w:r w:rsidR="003A4453" w:rsidRPr="003C4AB6">
        <w:rPr>
          <w:sz w:val="24"/>
          <w:szCs w:val="24"/>
        </w:rPr>
        <w:t xml:space="preserve">и кандидатства за </w:t>
      </w:r>
      <w:r w:rsidR="0022460B" w:rsidRPr="003C4AB6">
        <w:rPr>
          <w:sz w:val="24"/>
          <w:szCs w:val="24"/>
        </w:rPr>
        <w:t xml:space="preserve">допустими </w:t>
      </w:r>
      <w:r w:rsidR="008B2DC4" w:rsidRPr="003C4AB6">
        <w:rPr>
          <w:sz w:val="24"/>
          <w:szCs w:val="24"/>
        </w:rPr>
        <w:t xml:space="preserve">дейности, </w:t>
      </w:r>
      <w:r w:rsidR="003A4453" w:rsidRPr="003C4AB6">
        <w:rPr>
          <w:sz w:val="24"/>
          <w:szCs w:val="24"/>
        </w:rPr>
        <w:t xml:space="preserve">във Формуляра за кандидатстване </w:t>
      </w:r>
      <w:r w:rsidR="00FB531B" w:rsidRPr="003C4AB6">
        <w:rPr>
          <w:sz w:val="24"/>
          <w:szCs w:val="24"/>
        </w:rPr>
        <w:t xml:space="preserve">следва </w:t>
      </w:r>
      <w:r w:rsidR="003A4453" w:rsidRPr="003C4AB6">
        <w:rPr>
          <w:sz w:val="24"/>
          <w:szCs w:val="24"/>
        </w:rPr>
        <w:t>ясно да</w:t>
      </w:r>
      <w:r w:rsidR="00FB531B" w:rsidRPr="003C4AB6">
        <w:rPr>
          <w:sz w:val="24"/>
          <w:szCs w:val="24"/>
        </w:rPr>
        <w:t xml:space="preserve"> бъде обосновано</w:t>
      </w:r>
      <w:r w:rsidR="003A4453" w:rsidRPr="003C4AB6">
        <w:rPr>
          <w:sz w:val="24"/>
          <w:szCs w:val="24"/>
        </w:rPr>
        <w:t>, че заложените по проекта разходи  ще бъдат използвани само за дейности, свързани с допустимите сектори. В противен случай, разходите ще бъдат премахнати от бюджета на проектното предложение служебно от страна на Оценителната комисия.</w:t>
      </w:r>
      <w:r w:rsidR="005B252D" w:rsidRPr="003C4AB6">
        <w:rPr>
          <w:b/>
          <w:sz w:val="24"/>
          <w:szCs w:val="24"/>
        </w:rPr>
        <w:t xml:space="preserve"> </w:t>
      </w:r>
      <w:r w:rsidR="005E1096" w:rsidRPr="003C4AB6">
        <w:rPr>
          <w:sz w:val="24"/>
          <w:szCs w:val="24"/>
        </w:rPr>
        <w:t>Също така, в</w:t>
      </w:r>
      <w:r w:rsidRPr="003C4AB6">
        <w:rPr>
          <w:sz w:val="24"/>
          <w:szCs w:val="24"/>
        </w:rPr>
        <w:t xml:space="preserve"> случай че </w:t>
      </w:r>
      <w:r w:rsidR="00BC371E" w:rsidRPr="003C4AB6">
        <w:rPr>
          <w:sz w:val="24"/>
          <w:szCs w:val="24"/>
        </w:rPr>
        <w:t xml:space="preserve">в резултат на извършването на </w:t>
      </w:r>
      <w:r w:rsidRPr="003C4AB6">
        <w:rPr>
          <w:sz w:val="24"/>
          <w:szCs w:val="24"/>
        </w:rPr>
        <w:t xml:space="preserve">даден разход </w:t>
      </w:r>
      <w:r w:rsidR="00BC371E" w:rsidRPr="003C4AB6">
        <w:rPr>
          <w:sz w:val="24"/>
          <w:szCs w:val="24"/>
        </w:rPr>
        <w:t>щ</w:t>
      </w:r>
      <w:r w:rsidRPr="003C4AB6">
        <w:rPr>
          <w:sz w:val="24"/>
          <w:szCs w:val="24"/>
        </w:rPr>
        <w:t>е</w:t>
      </w:r>
      <w:r w:rsidR="00BC371E" w:rsidRPr="003C4AB6">
        <w:rPr>
          <w:sz w:val="24"/>
          <w:szCs w:val="24"/>
        </w:rPr>
        <w:t xml:space="preserve"> бъдат осъществени </w:t>
      </w:r>
      <w:r w:rsidR="009A041A" w:rsidRPr="003C4AB6">
        <w:rPr>
          <w:sz w:val="24"/>
          <w:szCs w:val="24"/>
        </w:rPr>
        <w:t xml:space="preserve">едновременно </w:t>
      </w:r>
      <w:r w:rsidR="00BC371E" w:rsidRPr="003C4AB6">
        <w:rPr>
          <w:sz w:val="24"/>
          <w:szCs w:val="24"/>
        </w:rPr>
        <w:t>допустима</w:t>
      </w:r>
      <w:r w:rsidR="00E736A9" w:rsidRPr="003C4AB6">
        <w:rPr>
          <w:sz w:val="24"/>
          <w:szCs w:val="24"/>
        </w:rPr>
        <w:t xml:space="preserve"> (съгласно т.</w:t>
      </w:r>
      <w:r w:rsidR="004413D7" w:rsidRPr="003C4AB6">
        <w:rPr>
          <w:sz w:val="24"/>
          <w:szCs w:val="24"/>
        </w:rPr>
        <w:t xml:space="preserve"> </w:t>
      </w:r>
      <w:r w:rsidR="00E736A9" w:rsidRPr="003C4AB6">
        <w:rPr>
          <w:sz w:val="24"/>
          <w:szCs w:val="24"/>
        </w:rPr>
        <w:t xml:space="preserve">13.1 от </w:t>
      </w:r>
      <w:r w:rsidR="007B1E28">
        <w:rPr>
          <w:sz w:val="24"/>
          <w:szCs w:val="24"/>
        </w:rPr>
        <w:t>Условия</w:t>
      </w:r>
      <w:r w:rsidR="00E736A9" w:rsidRPr="003C4AB6">
        <w:rPr>
          <w:sz w:val="24"/>
          <w:szCs w:val="24"/>
        </w:rPr>
        <w:t>т</w:t>
      </w:r>
      <w:r w:rsidR="00F53AB3">
        <w:rPr>
          <w:sz w:val="24"/>
          <w:szCs w:val="24"/>
        </w:rPr>
        <w:t>а</w:t>
      </w:r>
      <w:r w:rsidR="00E736A9" w:rsidRPr="003C4AB6">
        <w:rPr>
          <w:sz w:val="24"/>
          <w:szCs w:val="24"/>
        </w:rPr>
        <w:t xml:space="preserve"> за кандидатстване)</w:t>
      </w:r>
      <w:r w:rsidR="00BC371E" w:rsidRPr="003C4AB6">
        <w:rPr>
          <w:sz w:val="24"/>
          <w:szCs w:val="24"/>
        </w:rPr>
        <w:t xml:space="preserve"> и недопустима дейност </w:t>
      </w:r>
      <w:r w:rsidR="00B31D25" w:rsidRPr="003C4AB6">
        <w:rPr>
          <w:sz w:val="24"/>
          <w:szCs w:val="24"/>
        </w:rPr>
        <w:t>(</w:t>
      </w:r>
      <w:r w:rsidR="002045B9" w:rsidRPr="003C4AB6">
        <w:rPr>
          <w:sz w:val="24"/>
          <w:szCs w:val="24"/>
        </w:rPr>
        <w:t xml:space="preserve">т. 13.2 от </w:t>
      </w:r>
      <w:r w:rsidR="007B1E28">
        <w:rPr>
          <w:sz w:val="24"/>
          <w:szCs w:val="24"/>
        </w:rPr>
        <w:t>Условия</w:t>
      </w:r>
      <w:r w:rsidR="002045B9" w:rsidRPr="003C4AB6">
        <w:rPr>
          <w:sz w:val="24"/>
          <w:szCs w:val="24"/>
        </w:rPr>
        <w:t>т</w:t>
      </w:r>
      <w:r w:rsidR="00F53AB3">
        <w:rPr>
          <w:sz w:val="24"/>
          <w:szCs w:val="24"/>
        </w:rPr>
        <w:t>а</w:t>
      </w:r>
      <w:r w:rsidR="002045B9" w:rsidRPr="003C4AB6">
        <w:rPr>
          <w:sz w:val="24"/>
          <w:szCs w:val="24"/>
        </w:rPr>
        <w:t xml:space="preserve"> за кандидатстване</w:t>
      </w:r>
      <w:r w:rsidR="00B31D25" w:rsidRPr="003C4AB6">
        <w:rPr>
          <w:sz w:val="24"/>
          <w:szCs w:val="24"/>
        </w:rPr>
        <w:t>) или дейност,  посочена в  параграф</w:t>
      </w:r>
      <w:r w:rsidR="00D20B95" w:rsidRPr="003C4AB6">
        <w:rPr>
          <w:sz w:val="24"/>
          <w:szCs w:val="24"/>
        </w:rPr>
        <w:t xml:space="preserve"> 2А</w:t>
      </w:r>
      <w:r w:rsidR="00B31D25" w:rsidRPr="003C4AB6">
        <w:rPr>
          <w:sz w:val="24"/>
          <w:szCs w:val="24"/>
        </w:rPr>
        <w:t xml:space="preserve"> от т</w:t>
      </w:r>
      <w:r w:rsidR="00B00927" w:rsidRPr="003C4AB6">
        <w:rPr>
          <w:sz w:val="24"/>
          <w:szCs w:val="24"/>
        </w:rPr>
        <w:t>.</w:t>
      </w:r>
      <w:r w:rsidR="009A041A" w:rsidRPr="003C4AB6">
        <w:rPr>
          <w:sz w:val="24"/>
          <w:szCs w:val="24"/>
        </w:rPr>
        <w:t xml:space="preserve"> </w:t>
      </w:r>
      <w:r w:rsidR="00B31D25" w:rsidRPr="003C4AB6">
        <w:rPr>
          <w:sz w:val="24"/>
          <w:szCs w:val="24"/>
        </w:rPr>
        <w:t>11</w:t>
      </w:r>
      <w:r w:rsidR="00D20B95" w:rsidRPr="003C4AB6">
        <w:rPr>
          <w:sz w:val="24"/>
          <w:szCs w:val="24"/>
        </w:rPr>
        <w:t xml:space="preserve">.2 на </w:t>
      </w:r>
      <w:r w:rsidR="007B1E28">
        <w:rPr>
          <w:sz w:val="24"/>
          <w:szCs w:val="24"/>
        </w:rPr>
        <w:t>Условия</w:t>
      </w:r>
      <w:r w:rsidR="00D20B95" w:rsidRPr="003C4AB6">
        <w:rPr>
          <w:sz w:val="24"/>
          <w:szCs w:val="24"/>
        </w:rPr>
        <w:t>т</w:t>
      </w:r>
      <w:r w:rsidR="00F53AB3">
        <w:rPr>
          <w:sz w:val="24"/>
          <w:szCs w:val="24"/>
        </w:rPr>
        <w:t>а</w:t>
      </w:r>
      <w:r w:rsidR="002045B9" w:rsidRPr="003C4AB6">
        <w:rPr>
          <w:sz w:val="24"/>
          <w:szCs w:val="24"/>
        </w:rPr>
        <w:t>, то този разход ще бъде  премахнат от бюджета на  проектно предложение</w:t>
      </w:r>
      <w:r w:rsidR="003A4453" w:rsidRPr="003C4AB6">
        <w:rPr>
          <w:sz w:val="24"/>
          <w:szCs w:val="24"/>
        </w:rPr>
        <w:t xml:space="preserve"> служебно от страна на Оценителната комисия</w:t>
      </w:r>
      <w:r w:rsidR="002045B9" w:rsidRPr="003C4AB6">
        <w:rPr>
          <w:sz w:val="24"/>
          <w:szCs w:val="24"/>
        </w:rPr>
        <w:t>.</w:t>
      </w:r>
      <w:r w:rsidRPr="003C4AB6">
        <w:rPr>
          <w:sz w:val="24"/>
          <w:szCs w:val="24"/>
        </w:rPr>
        <w:t xml:space="preserve"> </w:t>
      </w:r>
    </w:p>
    <w:p w:rsidR="00FD7FFD" w:rsidRPr="003C4AB6" w:rsidRDefault="00FD7FFD" w:rsidP="00DC14A3">
      <w:pPr>
        <w:pStyle w:val="Heading3"/>
        <w:spacing w:before="120" w:after="120"/>
        <w:rPr>
          <w:sz w:val="24"/>
          <w:szCs w:val="24"/>
        </w:rPr>
      </w:pPr>
      <w:bookmarkStart w:id="21" w:name="_Toc442298724"/>
      <w:r w:rsidRPr="003C4AB6">
        <w:rPr>
          <w:sz w:val="24"/>
          <w:szCs w:val="24"/>
        </w:rPr>
        <w:lastRenderedPageBreak/>
        <w:t>14.3. Недопустими разходи</w:t>
      </w:r>
      <w:bookmarkEnd w:id="21"/>
    </w:p>
    <w:p w:rsidR="009D442F" w:rsidRPr="003C4AB6" w:rsidRDefault="009D442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b/>
          <w:sz w:val="24"/>
          <w:szCs w:val="24"/>
        </w:rPr>
        <w:t>Недопустими</w:t>
      </w:r>
      <w:r w:rsidRPr="003C4AB6">
        <w:rPr>
          <w:sz w:val="24"/>
          <w:szCs w:val="24"/>
        </w:rPr>
        <w:t xml:space="preserve"> по процедурата са следните видове разходи: </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 xml:space="preserve">разходи за </w:t>
      </w:r>
      <w:r w:rsidR="007E3512" w:rsidRPr="003C4AB6">
        <w:rPr>
          <w:sz w:val="24"/>
          <w:szCs w:val="24"/>
        </w:rPr>
        <w:t xml:space="preserve">дълготрайни активи </w:t>
      </w:r>
      <w:r w:rsidR="00670ACD" w:rsidRPr="003C4AB6">
        <w:rPr>
          <w:sz w:val="24"/>
          <w:szCs w:val="24"/>
        </w:rPr>
        <w:t>втора употреба</w:t>
      </w:r>
      <w:r w:rsidR="00D62E0F" w:rsidRPr="003C4AB6">
        <w:rPr>
          <w:rFonts w:ascii="Calibri" w:eastAsia="Calibri" w:hAnsi="Calibri" w:cs="Times New Roman"/>
          <w:sz w:val="24"/>
          <w:szCs w:val="24"/>
        </w:rPr>
        <w:t xml:space="preserve"> и за дълготрайни активи, които не са заведени за първи път от получателя на помощта (закупени от първи доставчик или производител)</w:t>
      </w:r>
      <w:r w:rsidR="00670ACD" w:rsidRPr="003C4AB6">
        <w:rPr>
          <w:sz w:val="24"/>
          <w:szCs w:val="24"/>
        </w:rPr>
        <w:t>;</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строително-монтажни работи (СМР);</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 xml:space="preserve">разходи за закупуване на </w:t>
      </w:r>
      <w:r w:rsidR="00702090" w:rsidRPr="003C4AB6">
        <w:rPr>
          <w:sz w:val="24"/>
          <w:szCs w:val="24"/>
        </w:rPr>
        <w:t xml:space="preserve">машини/съоръжения/оборудване и </w:t>
      </w:r>
      <w:r w:rsidR="00570714" w:rsidRPr="003C4AB6">
        <w:rPr>
          <w:sz w:val="24"/>
          <w:szCs w:val="24"/>
        </w:rPr>
        <w:t>нематериални дълготрайни активи</w:t>
      </w:r>
      <w:r w:rsidR="00670ACD" w:rsidRPr="003C4AB6">
        <w:rPr>
          <w:sz w:val="24"/>
          <w:szCs w:val="24"/>
        </w:rPr>
        <w:t>, които не са пряко свързани с постигане на целите на проекта;</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sz w:val="24"/>
          <w:szCs w:val="24"/>
        </w:rPr>
        <w:t xml:space="preserve">•  </w:t>
      </w:r>
      <w:r w:rsidR="00670ACD" w:rsidRPr="003C4AB6">
        <w:rPr>
          <w:sz w:val="24"/>
          <w:szCs w:val="24"/>
        </w:rPr>
        <w:t>разходи за закупуване на компютърно оборудване и софтуер за административни нужди на предприятието</w:t>
      </w:r>
      <w:r w:rsidR="00157234" w:rsidRPr="003C4AB6">
        <w:rPr>
          <w:sz w:val="24"/>
          <w:szCs w:val="24"/>
        </w:rPr>
        <w:t xml:space="preserve"> </w:t>
      </w:r>
      <w:r w:rsidR="00157234" w:rsidRPr="003C4AB6">
        <w:rPr>
          <w:rFonts w:ascii="Calibri" w:eastAsia="Calibri" w:hAnsi="Calibri" w:cs="Times New Roman"/>
          <w:sz w:val="24"/>
          <w:szCs w:val="24"/>
        </w:rPr>
        <w:t>(вкл. софтуерни системи за управление – ERP, CRM и други подобни системи и модули към тях);</w:t>
      </w:r>
    </w:p>
    <w:p w:rsidR="004D3EBE" w:rsidRPr="003C4AB6" w:rsidRDefault="005E0796"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Pr="003C4AB6">
        <w:rPr>
          <w:rFonts w:ascii="Calibri" w:eastAsia="Calibri" w:hAnsi="Calibri" w:cs="Times New Roman"/>
          <w:sz w:val="24"/>
          <w:szCs w:val="24"/>
        </w:rPr>
        <w:t xml:space="preserve">разходи за </w:t>
      </w:r>
      <w:r w:rsidR="004D3EBE" w:rsidRPr="003C4AB6">
        <w:rPr>
          <w:rFonts w:ascii="Calibri" w:eastAsia="Calibri" w:hAnsi="Calibri" w:cs="Times New Roman"/>
          <w:sz w:val="24"/>
          <w:szCs w:val="24"/>
        </w:rPr>
        <w:t>суровини, материали, полуобработени компоненти, консумативи за</w:t>
      </w:r>
      <w:r w:rsidR="00355982" w:rsidRPr="003C4AB6">
        <w:rPr>
          <w:rFonts w:ascii="Calibri" w:eastAsia="Calibri" w:hAnsi="Calibri" w:cs="Times New Roman"/>
          <w:sz w:val="24"/>
          <w:szCs w:val="24"/>
        </w:rPr>
        <w:t xml:space="preserve"> производството и </w:t>
      </w:r>
      <w:r w:rsidRPr="003C4AB6">
        <w:rPr>
          <w:rFonts w:ascii="Calibri" w:eastAsia="Calibri" w:hAnsi="Calibri" w:cs="Times New Roman"/>
          <w:sz w:val="24"/>
          <w:szCs w:val="24"/>
        </w:rPr>
        <w:t>резервни части</w:t>
      </w:r>
      <w:r w:rsidR="004D3EBE" w:rsidRPr="003C4AB6">
        <w:rPr>
          <w:rFonts w:ascii="Calibri" w:eastAsia="Calibri" w:hAnsi="Calibri" w:cs="Times New Roman"/>
          <w:sz w:val="24"/>
          <w:szCs w:val="24"/>
        </w:rPr>
        <w:t>, с изключение на консумативи и материали, необходими за създаване и тестване на прототипи и пилотни линии;</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355982" w:rsidRPr="003C4AB6">
        <w:rPr>
          <w:sz w:val="24"/>
          <w:szCs w:val="24"/>
        </w:rPr>
        <w:t>разходи за участие в събития (семинари, конференции, работни срещи, изложения и др.);</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 xml:space="preserve">разходи за реклама на новите технологии, процеси, продукти/услуги – </w:t>
      </w:r>
      <w:r w:rsidR="009226C5" w:rsidRPr="003C4AB6">
        <w:rPr>
          <w:sz w:val="24"/>
          <w:szCs w:val="24"/>
        </w:rPr>
        <w:t xml:space="preserve">включително и не само </w:t>
      </w:r>
      <w:r w:rsidR="00670ACD" w:rsidRPr="003C4AB6">
        <w:rPr>
          <w:sz w:val="24"/>
          <w:szCs w:val="24"/>
        </w:rPr>
        <w:t xml:space="preserve">публикуване на обяви в периодични издания, изработка и излъчване на рекламни </w:t>
      </w:r>
      <w:proofErr w:type="spellStart"/>
      <w:r w:rsidR="00670ACD" w:rsidRPr="003C4AB6">
        <w:rPr>
          <w:sz w:val="24"/>
          <w:szCs w:val="24"/>
        </w:rPr>
        <w:t>спотове</w:t>
      </w:r>
      <w:proofErr w:type="spellEnd"/>
      <w:r w:rsidR="00670ACD" w:rsidRPr="003C4AB6">
        <w:rPr>
          <w:sz w:val="24"/>
          <w:szCs w:val="24"/>
        </w:rPr>
        <w:t xml:space="preserve"> (радио и телевизионни) </w:t>
      </w:r>
      <w:r w:rsidR="0069480E" w:rsidRPr="0069480E">
        <w:rPr>
          <w:rFonts w:ascii="Calibri" w:eastAsia="Calibri" w:hAnsi="Calibri" w:cs="Times New Roman"/>
          <w:sz w:val="24"/>
          <w:szCs w:val="24"/>
        </w:rPr>
        <w:t>и др. различни от тези, които бенефициентите могат да прилагат при изпълнение на проекти, финансирани от ЕСИФ и посочени в „Единния наръчник на бенефициента за прилагане на правилата за информация и комуникация" 2014-2020</w:t>
      </w:r>
      <w:r w:rsidR="00794245" w:rsidRPr="003C4AB6">
        <w:rPr>
          <w:sz w:val="24"/>
          <w:szCs w:val="24"/>
        </w:rPr>
        <w:t>;</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застраховки на закупеното оборудване;</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банкови такси и комисионни;</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непредвидени разходи;</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непреки разходи (административни разходи, режийни и др.)</w:t>
      </w:r>
      <w:r w:rsidR="007E07F3" w:rsidRPr="003C4AB6">
        <w:rPr>
          <w:sz w:val="24"/>
          <w:szCs w:val="24"/>
        </w:rPr>
        <w:t xml:space="preserve">, </w:t>
      </w:r>
      <w:r w:rsidR="00735967" w:rsidRPr="003C4AB6">
        <w:rPr>
          <w:sz w:val="24"/>
          <w:szCs w:val="24"/>
        </w:rPr>
        <w:t>с изключение на</w:t>
      </w:r>
      <w:r w:rsidR="007E07F3" w:rsidRPr="003C4AB6">
        <w:rPr>
          <w:sz w:val="24"/>
          <w:szCs w:val="24"/>
        </w:rPr>
        <w:t xml:space="preserve"> </w:t>
      </w:r>
      <w:r w:rsidR="005E4F55" w:rsidRPr="003C4AB6">
        <w:rPr>
          <w:sz w:val="24"/>
          <w:szCs w:val="24"/>
        </w:rPr>
        <w:t>разходи за наем на помещения, необходими за извършване на приложни научни изследвания, тествания, изпитвания и измервания, както и за създаване и тестване на прототипи и пилотни линии;</w:t>
      </w:r>
      <w:r w:rsidR="005E4F55" w:rsidRPr="003C4AB6" w:rsidDel="007E07F3">
        <w:rPr>
          <w:sz w:val="24"/>
          <w:szCs w:val="24"/>
        </w:rPr>
        <w:t xml:space="preserve"> </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закупуване на земя и сгради;</w:t>
      </w:r>
    </w:p>
    <w:p w:rsidR="001A7081" w:rsidRPr="003C4AB6" w:rsidRDefault="008D7C6A"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закупуване или наемане на транспортни средства и съоръж</w:t>
      </w:r>
      <w:r w:rsidR="00702090" w:rsidRPr="003C4AB6">
        <w:rPr>
          <w:sz w:val="24"/>
          <w:szCs w:val="24"/>
        </w:rPr>
        <w:t xml:space="preserve">ения съгласно дефиницията в </w:t>
      </w:r>
      <w:r w:rsidR="009D7BC4" w:rsidRPr="003C4AB6">
        <w:rPr>
          <w:sz w:val="24"/>
          <w:szCs w:val="24"/>
        </w:rPr>
        <w:t>Приложение</w:t>
      </w:r>
      <w:r w:rsidR="000E0388" w:rsidRPr="003C4AB6">
        <w:rPr>
          <w:sz w:val="24"/>
          <w:szCs w:val="24"/>
        </w:rPr>
        <w:t xml:space="preserve"> </w:t>
      </w:r>
      <w:r w:rsidR="0023176D">
        <w:rPr>
          <w:sz w:val="24"/>
          <w:szCs w:val="24"/>
        </w:rPr>
        <w:t>Т</w:t>
      </w:r>
      <w:r w:rsidR="00670ACD" w:rsidRPr="003C4AB6">
        <w:rPr>
          <w:sz w:val="24"/>
          <w:szCs w:val="24"/>
        </w:rPr>
        <w:t>;</w:t>
      </w:r>
      <w:r w:rsidR="001A7081" w:rsidRPr="003C4AB6">
        <w:rPr>
          <w:sz w:val="24"/>
          <w:szCs w:val="24"/>
        </w:rPr>
        <w:t xml:space="preserve"> </w:t>
      </w:r>
    </w:p>
    <w:p w:rsidR="001A7081" w:rsidRPr="003C4AB6" w:rsidRDefault="001A7081"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разходи за консултантски услуги за разработване на проектното предложение;</w:t>
      </w:r>
    </w:p>
    <w:p w:rsidR="00B94BE8" w:rsidRPr="003C4AB6" w:rsidRDefault="00B94BE8"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разходи за одит на проект</w:t>
      </w:r>
      <w:r w:rsidR="001D6ECC">
        <w:rPr>
          <w:sz w:val="24"/>
          <w:szCs w:val="24"/>
        </w:rPr>
        <w:t>а;</w:t>
      </w:r>
    </w:p>
    <w:p w:rsidR="009C55CF" w:rsidRPr="003C4AB6" w:rsidRDefault="00C07138" w:rsidP="001A70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разходи за консултантски, </w:t>
      </w:r>
      <w:r w:rsidR="009C55CF" w:rsidRPr="003C4AB6">
        <w:rPr>
          <w:sz w:val="24"/>
          <w:szCs w:val="24"/>
        </w:rPr>
        <w:t>юридически</w:t>
      </w:r>
      <w:r w:rsidRPr="003C4AB6">
        <w:rPr>
          <w:sz w:val="24"/>
          <w:szCs w:val="24"/>
        </w:rPr>
        <w:t xml:space="preserve"> и счетоводни</w:t>
      </w:r>
      <w:r w:rsidR="009C55CF" w:rsidRPr="003C4AB6">
        <w:rPr>
          <w:sz w:val="24"/>
          <w:szCs w:val="24"/>
        </w:rPr>
        <w:t xml:space="preserve"> услуги</w:t>
      </w:r>
      <w:r w:rsidR="002F50ED" w:rsidRPr="003C4AB6">
        <w:rPr>
          <w:sz w:val="24"/>
          <w:szCs w:val="24"/>
        </w:rPr>
        <w:t xml:space="preserve"> от общ характер;</w:t>
      </w:r>
    </w:p>
    <w:p w:rsidR="00080944" w:rsidRPr="003C4AB6" w:rsidRDefault="00080944" w:rsidP="0008094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разходи изработване на общи пазарни анализи, проучвания, маркетингови планове, които не са свързани с пазарна реализация на иновативния продукт или процес;</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lastRenderedPageBreak/>
        <w:t xml:space="preserve">• </w:t>
      </w:r>
      <w:r w:rsidR="00670ACD" w:rsidRPr="003C4AB6">
        <w:rPr>
          <w:sz w:val="24"/>
          <w:szCs w:val="24"/>
        </w:rPr>
        <w:t>принос в натура;</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загуби от обмяна на валута;</w:t>
      </w:r>
    </w:p>
    <w:p w:rsidR="00670ACD" w:rsidRPr="003C4AB6" w:rsidRDefault="008D7C6A" w:rsidP="00670AC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разходи за възстановим ДДС;</w:t>
      </w:r>
    </w:p>
    <w:p w:rsidR="00941981" w:rsidRPr="003C4AB6" w:rsidRDefault="00941981" w:rsidP="009419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sidR="000B3D64" w:rsidRPr="000B3D64">
        <w:rPr>
          <w:rFonts w:ascii="Calibri" w:eastAsia="Calibri" w:hAnsi="Calibri" w:cs="Times New Roman"/>
          <w:sz w:val="24"/>
          <w:szCs w:val="24"/>
          <w:lang w:val="x-none"/>
        </w:rPr>
        <w:t>разходи за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Pr="00FD6CDA">
        <w:rPr>
          <w:sz w:val="24"/>
          <w:szCs w:val="24"/>
        </w:rPr>
        <w:t>;</w:t>
      </w:r>
    </w:p>
    <w:p w:rsidR="00695294" w:rsidRPr="003C4AB6" w:rsidRDefault="00695294" w:rsidP="009419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разходи за придобиването на товарни автомобили за сухопътен транспорт;</w:t>
      </w:r>
    </w:p>
    <w:p w:rsidR="00670ACD" w:rsidRPr="003C4AB6" w:rsidRDefault="008D7C6A"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670ACD" w:rsidRPr="003C4AB6">
        <w:rPr>
          <w:sz w:val="24"/>
          <w:szCs w:val="24"/>
        </w:rPr>
        <w:t>всички разходи, които не попадат в обхвата на допустимите дейности по настоящата процедура</w:t>
      </w:r>
      <w:r w:rsidR="009A029A" w:rsidRPr="003C4AB6">
        <w:rPr>
          <w:sz w:val="24"/>
          <w:szCs w:val="24"/>
        </w:rPr>
        <w:t>,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670ACD" w:rsidRPr="003C4AB6">
        <w:rPr>
          <w:sz w:val="24"/>
          <w:szCs w:val="24"/>
        </w:rPr>
        <w:t>.</w:t>
      </w:r>
    </w:p>
    <w:p w:rsidR="005740F6" w:rsidRPr="003C4AB6" w:rsidRDefault="005740F6" w:rsidP="002E627B">
      <w:pPr>
        <w:pStyle w:val="Heading2"/>
        <w:rPr>
          <w:sz w:val="10"/>
          <w:szCs w:val="10"/>
        </w:rPr>
      </w:pPr>
    </w:p>
    <w:p w:rsidR="00051B15" w:rsidRPr="003C4AB6" w:rsidRDefault="00CB14EE" w:rsidP="002E627B">
      <w:pPr>
        <w:pStyle w:val="Heading2"/>
      </w:pPr>
      <w:bookmarkStart w:id="22" w:name="_Toc442298725"/>
      <w:r w:rsidRPr="003C4AB6">
        <w:t>1</w:t>
      </w:r>
      <w:r w:rsidR="00F7626C" w:rsidRPr="003C4AB6">
        <w:t>5</w:t>
      </w:r>
      <w:r w:rsidRPr="003C4AB6">
        <w:t>. Допустими целеви групи</w:t>
      </w:r>
      <w:r w:rsidR="00051B15" w:rsidRPr="003C4AB6">
        <w:t>:</w:t>
      </w:r>
      <w:bookmarkEnd w:id="22"/>
    </w:p>
    <w:p w:rsidR="00F4378A" w:rsidRPr="003C4AB6" w:rsidRDefault="00F4378A" w:rsidP="00051B15">
      <w:pPr>
        <w:pStyle w:val="ListParagraph"/>
        <w:pBdr>
          <w:top w:val="single" w:sz="4" w:space="1" w:color="auto"/>
          <w:left w:val="single" w:sz="4" w:space="4" w:color="auto"/>
          <w:bottom w:val="single" w:sz="4" w:space="1" w:color="auto"/>
          <w:right w:val="single" w:sz="4" w:space="4" w:color="auto"/>
        </w:pBdr>
        <w:spacing w:before="120" w:after="360" w:line="240" w:lineRule="auto"/>
        <w:ind w:left="0"/>
        <w:jc w:val="both"/>
        <w:rPr>
          <w:sz w:val="24"/>
          <w:szCs w:val="24"/>
        </w:rPr>
      </w:pPr>
      <w:r w:rsidRPr="003C4AB6">
        <w:rPr>
          <w:sz w:val="24"/>
          <w:szCs w:val="24"/>
        </w:rPr>
        <w:t xml:space="preserve">По процедурата ще бъде приложена специфична тематична </w:t>
      </w:r>
      <w:proofErr w:type="spellStart"/>
      <w:r w:rsidRPr="003C4AB6">
        <w:rPr>
          <w:sz w:val="24"/>
          <w:szCs w:val="24"/>
        </w:rPr>
        <w:t>фокусираност</w:t>
      </w:r>
      <w:proofErr w:type="spellEnd"/>
      <w:r w:rsidRPr="003C4AB6">
        <w:rPr>
          <w:sz w:val="24"/>
          <w:szCs w:val="24"/>
        </w:rPr>
        <w:t xml:space="preserve"> в съответствие с приоритетите на ИСИС. По настоящата процедура ще се подкрепят изключително </w:t>
      </w:r>
      <w:r w:rsidR="005F7650" w:rsidRPr="003C4AB6">
        <w:rPr>
          <w:sz w:val="24"/>
          <w:szCs w:val="24"/>
        </w:rPr>
        <w:t xml:space="preserve">проекти, чието изпълнение води до </w:t>
      </w:r>
      <w:r w:rsidR="005F38BA" w:rsidRPr="003C4AB6">
        <w:rPr>
          <w:sz w:val="24"/>
          <w:szCs w:val="24"/>
        </w:rPr>
        <w:t>разработване</w:t>
      </w:r>
      <w:r w:rsidR="005F7650" w:rsidRPr="003C4AB6">
        <w:rPr>
          <w:sz w:val="24"/>
          <w:szCs w:val="24"/>
        </w:rPr>
        <w:t xml:space="preserve"> на </w:t>
      </w:r>
      <w:r w:rsidR="00A53E0A" w:rsidRPr="003C4AB6">
        <w:rPr>
          <w:sz w:val="24"/>
          <w:szCs w:val="24"/>
        </w:rPr>
        <w:t xml:space="preserve">иновационен </w:t>
      </w:r>
      <w:r w:rsidR="005F7650" w:rsidRPr="003C4AB6">
        <w:rPr>
          <w:sz w:val="24"/>
          <w:szCs w:val="24"/>
        </w:rPr>
        <w:t xml:space="preserve">продукт (стока или услуга) или </w:t>
      </w:r>
      <w:r w:rsidR="00A53E0A" w:rsidRPr="003C4AB6">
        <w:rPr>
          <w:sz w:val="24"/>
          <w:szCs w:val="24"/>
        </w:rPr>
        <w:t xml:space="preserve">иновационен </w:t>
      </w:r>
      <w:r w:rsidR="005F7650" w:rsidRPr="003C4AB6">
        <w:rPr>
          <w:sz w:val="24"/>
          <w:szCs w:val="24"/>
        </w:rPr>
        <w:t>процес, попадащи в рамките на изброените по-долу приоритетни направления на тематичните области</w:t>
      </w:r>
      <w:r w:rsidR="005F7650" w:rsidRPr="003C4AB6" w:rsidDel="005F7650">
        <w:rPr>
          <w:sz w:val="24"/>
          <w:szCs w:val="24"/>
        </w:rPr>
        <w:t xml:space="preserve"> </w:t>
      </w:r>
      <w:r w:rsidRPr="003C4AB6">
        <w:rPr>
          <w:sz w:val="24"/>
          <w:szCs w:val="24"/>
        </w:rPr>
        <w:t>на ИСИС</w:t>
      </w:r>
      <w:r w:rsidR="00014B32" w:rsidRPr="003C4AB6">
        <w:rPr>
          <w:sz w:val="24"/>
          <w:szCs w:val="24"/>
        </w:rPr>
        <w:t>.</w:t>
      </w:r>
    </w:p>
    <w:p w:rsidR="005F38BA" w:rsidRPr="003C4AB6" w:rsidRDefault="005F38BA" w:rsidP="005F38BA">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sz w:val="24"/>
          <w:szCs w:val="24"/>
        </w:rPr>
        <w:t xml:space="preserve">•    </w:t>
      </w:r>
      <w:r w:rsidRPr="003C4AB6">
        <w:rPr>
          <w:b/>
          <w:sz w:val="24"/>
          <w:szCs w:val="24"/>
        </w:rPr>
        <w:t>ИКТ и информатика</w:t>
      </w:r>
      <w:r w:rsidRPr="003C4AB6">
        <w:rPr>
          <w:b/>
          <w:sz w:val="24"/>
          <w:szCs w:val="24"/>
          <w:lang w:val="en-US"/>
        </w:rPr>
        <w:t>:</w:t>
      </w:r>
      <w:r w:rsidRPr="003C4AB6">
        <w:rPr>
          <w:b/>
          <w:sz w:val="24"/>
          <w:szCs w:val="24"/>
        </w:rPr>
        <w:t xml:space="preserve"> </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производства, особено </w:t>
      </w:r>
      <w:proofErr w:type="spellStart"/>
      <w:r w:rsidRPr="003C4AB6">
        <w:rPr>
          <w:sz w:val="24"/>
          <w:szCs w:val="24"/>
        </w:rPr>
        <w:t>Fabless</w:t>
      </w:r>
      <w:proofErr w:type="spellEnd"/>
      <w:r w:rsidRPr="003C4AB6">
        <w:rPr>
          <w:sz w:val="24"/>
          <w:szCs w:val="24"/>
        </w:rPr>
        <w:t xml:space="preserve"> и нови подходи за дизайн и/или асемблиране;</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w:t>
      </w:r>
      <w:proofErr w:type="spellStart"/>
      <w:r w:rsidRPr="003C4AB6">
        <w:rPr>
          <w:sz w:val="24"/>
          <w:szCs w:val="24"/>
        </w:rPr>
        <w:t>инбедид</w:t>
      </w:r>
      <w:proofErr w:type="spellEnd"/>
      <w:r w:rsidRPr="003C4AB6">
        <w:rPr>
          <w:sz w:val="24"/>
          <w:szCs w:val="24"/>
        </w:rPr>
        <w:t>“ софтуер;</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3D дигитализация, визуализация и </w:t>
      </w:r>
      <w:proofErr w:type="spellStart"/>
      <w:r w:rsidRPr="003C4AB6">
        <w:rPr>
          <w:sz w:val="24"/>
          <w:szCs w:val="24"/>
        </w:rPr>
        <w:t>прототипиране</w:t>
      </w:r>
      <w:proofErr w:type="spellEnd"/>
      <w:r w:rsidRPr="003C4AB6">
        <w:rPr>
          <w:sz w:val="24"/>
          <w:szCs w:val="24"/>
        </w:rPr>
        <w:t>;</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Big Data, </w:t>
      </w:r>
      <w:proofErr w:type="spellStart"/>
      <w:r w:rsidRPr="003C4AB6">
        <w:rPr>
          <w:sz w:val="24"/>
          <w:szCs w:val="24"/>
        </w:rPr>
        <w:t>Grid</w:t>
      </w:r>
      <w:proofErr w:type="spellEnd"/>
      <w:r w:rsidRPr="003C4AB6">
        <w:rPr>
          <w:sz w:val="24"/>
          <w:szCs w:val="24"/>
        </w:rPr>
        <w:t xml:space="preserve"> </w:t>
      </w:r>
      <w:proofErr w:type="spellStart"/>
      <w:r w:rsidRPr="003C4AB6">
        <w:rPr>
          <w:sz w:val="24"/>
          <w:szCs w:val="24"/>
        </w:rPr>
        <w:t>and</w:t>
      </w:r>
      <w:proofErr w:type="spellEnd"/>
      <w:r w:rsidRPr="003C4AB6">
        <w:rPr>
          <w:sz w:val="24"/>
          <w:szCs w:val="24"/>
        </w:rPr>
        <w:t xml:space="preserve"> </w:t>
      </w:r>
      <w:proofErr w:type="spellStart"/>
      <w:r w:rsidRPr="003C4AB6">
        <w:rPr>
          <w:sz w:val="24"/>
          <w:szCs w:val="24"/>
        </w:rPr>
        <w:t>Cloud</w:t>
      </w:r>
      <w:proofErr w:type="spellEnd"/>
      <w:r w:rsidRPr="003C4AB6">
        <w:rPr>
          <w:sz w:val="24"/>
          <w:szCs w:val="24"/>
        </w:rPr>
        <w:t xml:space="preserve"> Technologies;</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безжични сензорни мрежи и безжична комуникация/управление;</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езикови технологии;</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уеб, хибридни и "</w:t>
      </w:r>
      <w:proofErr w:type="spellStart"/>
      <w:r w:rsidRPr="003C4AB6">
        <w:rPr>
          <w:sz w:val="24"/>
          <w:szCs w:val="24"/>
        </w:rPr>
        <w:t>native</w:t>
      </w:r>
      <w:proofErr w:type="spellEnd"/>
      <w:r w:rsidRPr="003C4AB6">
        <w:rPr>
          <w:sz w:val="24"/>
          <w:szCs w:val="24"/>
        </w:rPr>
        <w:t>" приложения, уеб базирани приложения за създаване и експлоатиране на нови услуги и продукти;</w:t>
      </w:r>
    </w:p>
    <w:p w:rsidR="005F38BA" w:rsidRPr="003C4AB6" w:rsidRDefault="005F38BA" w:rsidP="0091502C">
      <w:pPr>
        <w:numPr>
          <w:ilvl w:val="0"/>
          <w:numId w:val="28"/>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използване на нови възможности във връзка с </w:t>
      </w:r>
      <w:proofErr w:type="spellStart"/>
      <w:r w:rsidRPr="003C4AB6">
        <w:rPr>
          <w:sz w:val="24"/>
          <w:szCs w:val="24"/>
        </w:rPr>
        <w:t>аутсорсинг</w:t>
      </w:r>
      <w:proofErr w:type="spellEnd"/>
      <w:r w:rsidRPr="003C4AB6">
        <w:rPr>
          <w:sz w:val="24"/>
          <w:szCs w:val="24"/>
        </w:rPr>
        <w:t xml:space="preserve"> и ИКТ-базирани услуги и системи</w:t>
      </w:r>
      <w:r w:rsidRPr="003C4AB6">
        <w:rPr>
          <w:sz w:val="24"/>
          <w:szCs w:val="24"/>
          <w:lang w:val="en-US"/>
        </w:rPr>
        <w:t>.</w:t>
      </w:r>
    </w:p>
    <w:p w:rsidR="005F38BA" w:rsidRPr="003C4AB6" w:rsidRDefault="005F38BA" w:rsidP="005F38BA">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sz w:val="24"/>
          <w:szCs w:val="24"/>
        </w:rPr>
        <w:t xml:space="preserve">•    </w:t>
      </w:r>
      <w:proofErr w:type="spellStart"/>
      <w:r w:rsidRPr="003C4AB6">
        <w:rPr>
          <w:b/>
          <w:sz w:val="24"/>
          <w:szCs w:val="24"/>
        </w:rPr>
        <w:t>мехатроника</w:t>
      </w:r>
      <w:proofErr w:type="spellEnd"/>
      <w:r w:rsidRPr="003C4AB6">
        <w:rPr>
          <w:b/>
          <w:sz w:val="24"/>
          <w:szCs w:val="24"/>
        </w:rPr>
        <w:t xml:space="preserve"> и чисти технологии:</w:t>
      </w:r>
      <w:r w:rsidRPr="003C4AB6">
        <w:rPr>
          <w:sz w:val="24"/>
          <w:szCs w:val="24"/>
        </w:rPr>
        <w:t xml:space="preserve"> </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производство на базови елементи, детайли, възли и оборудване, вграждани като част от </w:t>
      </w:r>
      <w:proofErr w:type="spellStart"/>
      <w:r w:rsidRPr="003C4AB6">
        <w:rPr>
          <w:sz w:val="24"/>
          <w:szCs w:val="24"/>
        </w:rPr>
        <w:t>мехатронен</w:t>
      </w:r>
      <w:proofErr w:type="spellEnd"/>
      <w:r w:rsidRPr="003C4AB6">
        <w:rPr>
          <w:sz w:val="24"/>
          <w:szCs w:val="24"/>
        </w:rPr>
        <w:t xml:space="preserve"> агрегат или самостоятелно съставляващи такъв агрегат</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машиностроене и </w:t>
      </w:r>
      <w:proofErr w:type="spellStart"/>
      <w:r w:rsidRPr="003C4AB6">
        <w:rPr>
          <w:sz w:val="24"/>
          <w:szCs w:val="24"/>
        </w:rPr>
        <w:t>уредостроене</w:t>
      </w:r>
      <w:proofErr w:type="spellEnd"/>
      <w:r w:rsidRPr="003C4AB6">
        <w:rPr>
          <w:sz w:val="24"/>
          <w:szCs w:val="24"/>
        </w:rPr>
        <w:t>, вкл. части, компоненти и системи, с акцент върху транспорта и енергетиката</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инженеринг, </w:t>
      </w:r>
      <w:proofErr w:type="spellStart"/>
      <w:r w:rsidRPr="003C4AB6">
        <w:rPr>
          <w:sz w:val="24"/>
          <w:szCs w:val="24"/>
        </w:rPr>
        <w:t>реинженеринг</w:t>
      </w:r>
      <w:proofErr w:type="spellEnd"/>
      <w:r w:rsidRPr="003C4AB6">
        <w:rPr>
          <w:sz w:val="24"/>
          <w:szCs w:val="24"/>
        </w:rPr>
        <w:t xml:space="preserve"> и продължаване на жизнения цикъл на индустриални машини, уреди и системи</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lastRenderedPageBreak/>
        <w:t>системи за автоматизирано и софтуерно подпомагано управление с приложение в производството;</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вграждане на ВЕИ в роботизирани системи с изкуствен интелект;</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създаване на съвременни информационни комплекси за автономни енергийни системи;</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роботика и автоматизация на процеси, в т.ч. 3-D моделиране на роботизирани автоматизирани системи</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проектиране и производство на високо-технологични продукти и/или участие в над-национална производствена верига, вкл. в </w:t>
      </w:r>
      <w:proofErr w:type="spellStart"/>
      <w:r w:rsidRPr="003C4AB6">
        <w:rPr>
          <w:sz w:val="24"/>
          <w:szCs w:val="24"/>
        </w:rPr>
        <w:t>аеро-космическата</w:t>
      </w:r>
      <w:proofErr w:type="spellEnd"/>
      <w:r w:rsidRPr="003C4AB6">
        <w:rPr>
          <w:sz w:val="24"/>
          <w:szCs w:val="24"/>
        </w:rPr>
        <w:t xml:space="preserve"> индустрия</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био-мехатроника</w:t>
      </w:r>
      <w:proofErr w:type="spellEnd"/>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интелигентни системи и уреди, „интелигентни домове“ – „интелигентни градове“</w:t>
      </w:r>
      <w:r w:rsidRPr="003C4AB6">
        <w:rPr>
          <w:sz w:val="24"/>
          <w:szCs w:val="24"/>
          <w:lang w:val="en-US"/>
        </w:rPr>
        <w:t>;</w:t>
      </w:r>
    </w:p>
    <w:p w:rsidR="005F38BA" w:rsidRPr="003C4AB6" w:rsidRDefault="005F38BA" w:rsidP="0091502C">
      <w:pPr>
        <w:numPr>
          <w:ilvl w:val="0"/>
          <w:numId w:val="27"/>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w:t>
      </w:r>
      <w:proofErr w:type="spellStart"/>
      <w:r w:rsidRPr="003C4AB6">
        <w:rPr>
          <w:sz w:val="24"/>
          <w:szCs w:val="24"/>
        </w:rPr>
        <w:t>еко-мобилност</w:t>
      </w:r>
      <w:proofErr w:type="spellEnd"/>
      <w:r w:rsidRPr="003C4AB6">
        <w:rPr>
          <w:sz w:val="24"/>
          <w:szCs w:val="24"/>
        </w:rPr>
        <w:t xml:space="preserve">, водород-базирани модели и технологии, безотпадни технологии, </w:t>
      </w:r>
      <w:proofErr w:type="spellStart"/>
      <w:r w:rsidRPr="003C4AB6">
        <w:rPr>
          <w:sz w:val="24"/>
          <w:szCs w:val="24"/>
        </w:rPr>
        <w:t>технологии</w:t>
      </w:r>
      <w:proofErr w:type="spellEnd"/>
      <w:r w:rsidRPr="003C4AB6">
        <w:rPr>
          <w:sz w:val="24"/>
          <w:szCs w:val="24"/>
        </w:rPr>
        <w:t xml:space="preserve"> и методи за включване на отпадъчни продукти и материали от производства в други производства).</w:t>
      </w:r>
    </w:p>
    <w:p w:rsidR="005F38BA" w:rsidRPr="003C4AB6" w:rsidRDefault="005F38BA" w:rsidP="005F38BA">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b/>
          <w:sz w:val="24"/>
          <w:szCs w:val="24"/>
        </w:rPr>
        <w:t xml:space="preserve">•    индустрия за здравословен живот и </w:t>
      </w:r>
      <w:proofErr w:type="spellStart"/>
      <w:r w:rsidRPr="003C4AB6">
        <w:rPr>
          <w:b/>
          <w:sz w:val="24"/>
          <w:szCs w:val="24"/>
        </w:rPr>
        <w:t>биотехнологии</w:t>
      </w:r>
      <w:proofErr w:type="spellEnd"/>
      <w:r w:rsidRPr="003C4AB6">
        <w:rPr>
          <w:rStyle w:val="FootnoteReference"/>
          <w:b/>
          <w:sz w:val="24"/>
          <w:szCs w:val="24"/>
        </w:rPr>
        <w:footnoteReference w:id="15"/>
      </w:r>
      <w:r w:rsidRPr="003C4AB6">
        <w:rPr>
          <w:b/>
          <w:sz w:val="24"/>
          <w:szCs w:val="24"/>
        </w:rPr>
        <w:t>:</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производство на специализирани храни и напитки (бебешки и детски, „космически“ храни);</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производство на инструменти, оборудване, консумативи за медицинска и </w:t>
      </w:r>
      <w:proofErr w:type="spellStart"/>
      <w:r w:rsidRPr="003C4AB6">
        <w:rPr>
          <w:sz w:val="24"/>
          <w:szCs w:val="24"/>
        </w:rPr>
        <w:t>дентална</w:t>
      </w:r>
      <w:proofErr w:type="spellEnd"/>
      <w:r w:rsidRPr="003C4AB6">
        <w:rPr>
          <w:sz w:val="24"/>
          <w:szCs w:val="24"/>
        </w:rPr>
        <w:t xml:space="preserve"> диагностика и терапия и/или участие в над-национална производствена верига;</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персонална медицина, диагностика и индивидуална терапия, лечебни и лекарствени форми и средства;</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медицински и лечебен туризъм с акцент върху възможностите за персонализация (немасов, а персонален туризъм);</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нано-технологии</w:t>
      </w:r>
      <w:proofErr w:type="spellEnd"/>
      <w:r w:rsidRPr="003C4AB6">
        <w:rPr>
          <w:sz w:val="24"/>
          <w:szCs w:val="24"/>
        </w:rPr>
        <w:t xml:space="preserve"> в услуга на медицината;</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proofErr w:type="spellStart"/>
      <w:r w:rsidRPr="003C4AB6">
        <w:rPr>
          <w:sz w:val="24"/>
          <w:szCs w:val="24"/>
        </w:rPr>
        <w:t>био-технологии</w:t>
      </w:r>
      <w:proofErr w:type="spellEnd"/>
      <w:r w:rsidRPr="003C4AB6">
        <w:rPr>
          <w:sz w:val="24"/>
          <w:szCs w:val="24"/>
        </w:rPr>
        <w:t xml:space="preserve"> с пряко приложение за здравословен начин на живот;</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„сини“ технологии и приложение на нови методи и технологии в устойчивото ползване на речни и морски ресурси;</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производство на инсталации за добиване на екологично чиста електроенергия и промишлена вода;</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зелена икономика. </w:t>
      </w:r>
    </w:p>
    <w:p w:rsidR="005F38BA" w:rsidRPr="003C4AB6" w:rsidRDefault="005F38BA" w:rsidP="005F38BA">
      <w:pPr>
        <w:pBdr>
          <w:top w:val="single" w:sz="4" w:space="1" w:color="auto"/>
          <w:left w:val="single" w:sz="4" w:space="4" w:color="auto"/>
          <w:bottom w:val="single" w:sz="4" w:space="1" w:color="auto"/>
          <w:right w:val="single" w:sz="4" w:space="4" w:color="auto"/>
        </w:pBdr>
        <w:spacing w:before="240" w:after="120" w:line="240" w:lineRule="auto"/>
        <w:jc w:val="both"/>
        <w:rPr>
          <w:b/>
          <w:sz w:val="24"/>
          <w:szCs w:val="24"/>
        </w:rPr>
      </w:pPr>
      <w:r w:rsidRPr="003C4AB6">
        <w:rPr>
          <w:b/>
          <w:sz w:val="24"/>
          <w:szCs w:val="24"/>
        </w:rPr>
        <w:t xml:space="preserve">•    нови технологии в креативните и </w:t>
      </w:r>
      <w:proofErr w:type="spellStart"/>
      <w:r w:rsidRPr="003C4AB6">
        <w:rPr>
          <w:b/>
          <w:sz w:val="24"/>
          <w:szCs w:val="24"/>
        </w:rPr>
        <w:t>рекреативните</w:t>
      </w:r>
      <w:proofErr w:type="spellEnd"/>
      <w:r w:rsidRPr="003C4AB6">
        <w:rPr>
          <w:b/>
          <w:sz w:val="24"/>
          <w:szCs w:val="24"/>
        </w:rPr>
        <w:t xml:space="preserve"> индустрии:</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lastRenderedPageBreak/>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компютърни и мобилни приложения и игри с образователен, маркетинг и/или развлекателен характер;</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алтернативен (селски, </w:t>
      </w:r>
      <w:proofErr w:type="spellStart"/>
      <w:r w:rsidRPr="003C4AB6">
        <w:rPr>
          <w:sz w:val="24"/>
          <w:szCs w:val="24"/>
        </w:rPr>
        <w:t>еко-</w:t>
      </w:r>
      <w:proofErr w:type="spellEnd"/>
      <w:r w:rsidRPr="003C4AB6">
        <w:rPr>
          <w:sz w:val="24"/>
          <w:szCs w:val="24"/>
        </w:rPr>
        <w:t xml:space="preserve">, културен и фестивален) и екстремен туризъм и спорт (за стимулиране на несезонен, немасов, а постоянен </w:t>
      </w:r>
      <w:proofErr w:type="spellStart"/>
      <w:r w:rsidRPr="003C4AB6">
        <w:rPr>
          <w:sz w:val="24"/>
          <w:szCs w:val="24"/>
        </w:rPr>
        <w:t>нишов</w:t>
      </w:r>
      <w:proofErr w:type="spellEnd"/>
      <w:r w:rsidRPr="003C4AB6">
        <w:rPr>
          <w:sz w:val="24"/>
          <w:szCs w:val="24"/>
        </w:rPr>
        <w:t xml:space="preserve"> туризъм);</w:t>
      </w:r>
    </w:p>
    <w:p w:rsidR="005F38BA" w:rsidRPr="003C4AB6" w:rsidRDefault="005F38BA" w:rsidP="0091502C">
      <w:pPr>
        <w:numPr>
          <w:ilvl w:val="0"/>
          <w:numId w:val="34"/>
        </w:numPr>
        <w:pBdr>
          <w:top w:val="single" w:sz="4" w:space="1" w:color="auto"/>
          <w:left w:val="single" w:sz="4" w:space="4" w:color="auto"/>
          <w:bottom w:val="single" w:sz="4" w:space="1" w:color="auto"/>
          <w:right w:val="single" w:sz="4" w:space="4" w:color="auto"/>
        </w:pBdr>
        <w:spacing w:after="0" w:line="240" w:lineRule="auto"/>
        <w:ind w:left="357" w:hanging="357"/>
        <w:jc w:val="both"/>
        <w:rPr>
          <w:sz w:val="24"/>
          <w:szCs w:val="24"/>
        </w:rPr>
      </w:pPr>
      <w:r w:rsidRPr="003C4AB6">
        <w:rPr>
          <w:sz w:val="24"/>
          <w:szCs w:val="24"/>
        </w:rPr>
        <w:t xml:space="preserve">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w:t>
      </w:r>
      <w:proofErr w:type="spellStart"/>
      <w:r w:rsidRPr="003C4AB6">
        <w:rPr>
          <w:sz w:val="24"/>
          <w:szCs w:val="24"/>
        </w:rPr>
        <w:t>възстановки</w:t>
      </w:r>
      <w:proofErr w:type="spellEnd"/>
      <w:r w:rsidRPr="003C4AB6">
        <w:rPr>
          <w:sz w:val="24"/>
          <w:szCs w:val="24"/>
        </w:rPr>
        <w:t>, специализирана екипировка и оборудване, печатни издания).</w:t>
      </w:r>
    </w:p>
    <w:p w:rsidR="005F38BA" w:rsidRPr="003C4AB6" w:rsidRDefault="005F38BA" w:rsidP="00051B15">
      <w:pPr>
        <w:pStyle w:val="ListParagraph"/>
        <w:pBdr>
          <w:top w:val="single" w:sz="4" w:space="1" w:color="auto"/>
          <w:left w:val="single" w:sz="4" w:space="4" w:color="auto"/>
          <w:bottom w:val="single" w:sz="4" w:space="1" w:color="auto"/>
          <w:right w:val="single" w:sz="4" w:space="4" w:color="auto"/>
        </w:pBdr>
        <w:spacing w:before="120" w:after="360" w:line="240" w:lineRule="auto"/>
        <w:ind w:left="0"/>
        <w:jc w:val="both"/>
        <w:rPr>
          <w:sz w:val="24"/>
          <w:szCs w:val="24"/>
        </w:rPr>
      </w:pPr>
    </w:p>
    <w:p w:rsidR="00E90F91" w:rsidRPr="003C4AB6" w:rsidRDefault="00E90F91" w:rsidP="002F53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Приоритет</w:t>
      </w:r>
      <w:r w:rsidRPr="003C4AB6">
        <w:rPr>
          <w:sz w:val="24"/>
          <w:szCs w:val="24"/>
        </w:rPr>
        <w:t xml:space="preserve"> ще бъд</w:t>
      </w:r>
      <w:r w:rsidR="009B59ED" w:rsidRPr="003C4AB6">
        <w:rPr>
          <w:sz w:val="24"/>
          <w:szCs w:val="24"/>
        </w:rPr>
        <w:t>е даден на</w:t>
      </w:r>
      <w:r w:rsidR="0066215F" w:rsidRPr="003C4AB6">
        <w:rPr>
          <w:sz w:val="24"/>
          <w:szCs w:val="24"/>
        </w:rPr>
        <w:t xml:space="preserve"> проекти</w:t>
      </w:r>
      <w:r w:rsidR="00493887" w:rsidRPr="003C4AB6">
        <w:rPr>
          <w:sz w:val="24"/>
          <w:szCs w:val="24"/>
        </w:rPr>
        <w:t>, които</w:t>
      </w:r>
      <w:r w:rsidRPr="003C4AB6">
        <w:rPr>
          <w:sz w:val="24"/>
          <w:szCs w:val="24"/>
        </w:rPr>
        <w:t>:</w:t>
      </w:r>
    </w:p>
    <w:p w:rsidR="00993F1D" w:rsidRPr="003C4AB6" w:rsidRDefault="00993F1D" w:rsidP="002F53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BC2060" w:rsidRPr="003C4AB6" w:rsidRDefault="00E90F91"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C5537D" w:rsidRPr="003C4AB6">
        <w:rPr>
          <w:sz w:val="24"/>
          <w:szCs w:val="24"/>
        </w:rPr>
        <w:t>попадат в приоритетните тематични области, изведени</w:t>
      </w:r>
      <w:r w:rsidR="00493887" w:rsidRPr="003C4AB6">
        <w:rPr>
          <w:sz w:val="24"/>
          <w:szCs w:val="24"/>
        </w:rPr>
        <w:t xml:space="preserve"> на база на регионалната специализация, заложена в ИСИС</w:t>
      </w:r>
      <w:r w:rsidR="00E12A0A">
        <w:rPr>
          <w:sz w:val="24"/>
          <w:szCs w:val="24"/>
          <w:lang w:val="en-US"/>
        </w:rPr>
        <w:t>,</w:t>
      </w:r>
      <w:r w:rsidR="00C5537D" w:rsidRPr="003C4AB6">
        <w:rPr>
          <w:sz w:val="24"/>
          <w:szCs w:val="24"/>
        </w:rPr>
        <w:t xml:space="preserve"> </w:t>
      </w:r>
      <w:r w:rsidR="0065451E" w:rsidRPr="003C4AB6">
        <w:rPr>
          <w:sz w:val="24"/>
          <w:szCs w:val="24"/>
        </w:rPr>
        <w:t>одобрен</w:t>
      </w:r>
      <w:r w:rsidR="00E12A0A">
        <w:rPr>
          <w:sz w:val="24"/>
          <w:szCs w:val="24"/>
          <w:lang w:val="en-US"/>
        </w:rPr>
        <w:t>a</w:t>
      </w:r>
      <w:r w:rsidR="0065451E" w:rsidRPr="003C4AB6">
        <w:rPr>
          <w:sz w:val="24"/>
          <w:szCs w:val="24"/>
        </w:rPr>
        <w:t xml:space="preserve"> от Министерски съвет</w:t>
      </w:r>
      <w:r w:rsidR="006233E6" w:rsidRPr="003C4AB6">
        <w:rPr>
          <w:sz w:val="24"/>
          <w:szCs w:val="24"/>
        </w:rPr>
        <w:t xml:space="preserve"> с Решение № 857/03.11.2015 г.</w:t>
      </w:r>
      <w:r w:rsidR="0065451E" w:rsidRPr="003C4AB6">
        <w:rPr>
          <w:sz w:val="24"/>
          <w:szCs w:val="24"/>
        </w:rPr>
        <w:t xml:space="preserve"> </w:t>
      </w:r>
      <w:r w:rsidR="00F658EE" w:rsidRPr="003C4AB6">
        <w:rPr>
          <w:sz w:val="24"/>
          <w:szCs w:val="24"/>
        </w:rPr>
        <w:t>Съгласно одобрен</w:t>
      </w:r>
      <w:r w:rsidR="00766252">
        <w:rPr>
          <w:sz w:val="24"/>
          <w:szCs w:val="24"/>
        </w:rPr>
        <w:t>ата</w:t>
      </w:r>
      <w:r w:rsidR="00F658EE" w:rsidRPr="003C4AB6">
        <w:rPr>
          <w:sz w:val="24"/>
          <w:szCs w:val="24"/>
        </w:rPr>
        <w:t xml:space="preserve"> ИСИС, </w:t>
      </w:r>
      <w:r w:rsidR="00BC2060" w:rsidRPr="003C4AB6">
        <w:rPr>
          <w:sz w:val="24"/>
          <w:szCs w:val="24"/>
        </w:rPr>
        <w:t>публикуван</w:t>
      </w:r>
      <w:r w:rsidR="00766252">
        <w:rPr>
          <w:sz w:val="24"/>
          <w:szCs w:val="24"/>
        </w:rPr>
        <w:t>а</w:t>
      </w:r>
      <w:r w:rsidR="00BC2060" w:rsidRPr="003C4AB6">
        <w:rPr>
          <w:sz w:val="24"/>
          <w:szCs w:val="24"/>
        </w:rPr>
        <w:t xml:space="preserve"> на страницат</w:t>
      </w:r>
      <w:r w:rsidR="0065451E" w:rsidRPr="003C4AB6">
        <w:rPr>
          <w:sz w:val="24"/>
          <w:szCs w:val="24"/>
        </w:rPr>
        <w:t>а на Министерство на икономиката</w:t>
      </w:r>
      <w:r w:rsidR="00081C0A" w:rsidRPr="003C4AB6">
        <w:rPr>
          <w:sz w:val="24"/>
          <w:szCs w:val="24"/>
        </w:rPr>
        <w:t xml:space="preserve"> </w:t>
      </w:r>
      <w:r w:rsidR="00BC2060" w:rsidRPr="003C4AB6">
        <w:rPr>
          <w:sz w:val="24"/>
          <w:szCs w:val="24"/>
        </w:rPr>
        <w:t>(</w:t>
      </w:r>
      <w:hyperlink r:id="rId10" w:history="1">
        <w:r w:rsidR="00BC2060" w:rsidRPr="003C4AB6">
          <w:rPr>
            <w:rStyle w:val="Hyperlink"/>
            <w:sz w:val="24"/>
            <w:szCs w:val="24"/>
          </w:rPr>
          <w:t>http://www.mi.government.bg/bg/themes/inovacionna-strategiya-za-inteligentna-specializaciya-na-republika-balgariya-2014-2020-g-i-proces-na-i-1470-0.html</w:t>
        </w:r>
      </w:hyperlink>
      <w:r w:rsidR="00BC2060" w:rsidRPr="003C4AB6">
        <w:rPr>
          <w:sz w:val="24"/>
          <w:szCs w:val="24"/>
        </w:rPr>
        <w:t>)</w:t>
      </w:r>
      <w:r w:rsidR="00F658EE" w:rsidRPr="003C4AB6">
        <w:rPr>
          <w:sz w:val="24"/>
          <w:szCs w:val="24"/>
        </w:rPr>
        <w:t>,</w:t>
      </w:r>
      <w:r w:rsidR="00BC2060" w:rsidRPr="003C4AB6">
        <w:rPr>
          <w:sz w:val="24"/>
          <w:szCs w:val="24"/>
        </w:rPr>
        <w:t xml:space="preserve"> </w:t>
      </w:r>
      <w:r w:rsidR="00512663" w:rsidRPr="003C4AB6">
        <w:rPr>
          <w:sz w:val="24"/>
          <w:szCs w:val="24"/>
        </w:rPr>
        <w:t xml:space="preserve">е определена следната </w:t>
      </w:r>
      <w:r w:rsidR="00512663" w:rsidRPr="003C4AB6">
        <w:rPr>
          <w:b/>
          <w:sz w:val="24"/>
          <w:szCs w:val="24"/>
        </w:rPr>
        <w:t>регионална специализация</w:t>
      </w:r>
      <w:r w:rsidR="00512663" w:rsidRPr="003C4AB6">
        <w:rPr>
          <w:sz w:val="24"/>
          <w:szCs w:val="24"/>
        </w:rPr>
        <w:t xml:space="preserve"> на</w:t>
      </w:r>
      <w:r w:rsidR="003C1356" w:rsidRPr="003C4AB6">
        <w:rPr>
          <w:sz w:val="24"/>
          <w:szCs w:val="24"/>
        </w:rPr>
        <w:t xml:space="preserve"> приоритетни</w:t>
      </w:r>
      <w:r w:rsidR="00512663" w:rsidRPr="003C4AB6">
        <w:rPr>
          <w:sz w:val="24"/>
          <w:szCs w:val="24"/>
        </w:rPr>
        <w:t>те</w:t>
      </w:r>
      <w:r w:rsidR="003C1356" w:rsidRPr="003C4AB6">
        <w:rPr>
          <w:sz w:val="24"/>
          <w:szCs w:val="24"/>
        </w:rPr>
        <w:t xml:space="preserve"> тематични области:</w:t>
      </w:r>
    </w:p>
    <w:p w:rsidR="00DC4730" w:rsidRPr="003C4AB6" w:rsidRDefault="00DC4730"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tbl>
      <w:tblPr>
        <w:tblStyle w:val="TableGrid"/>
        <w:tblW w:w="0" w:type="auto"/>
        <w:tblLook w:val="04A0" w:firstRow="1" w:lastRow="0" w:firstColumn="1" w:lastColumn="0" w:noHBand="0" w:noVBand="1"/>
      </w:tblPr>
      <w:tblGrid>
        <w:gridCol w:w="1596"/>
        <w:gridCol w:w="1596"/>
        <w:gridCol w:w="1595"/>
        <w:gridCol w:w="1595"/>
        <w:gridCol w:w="1595"/>
        <w:gridCol w:w="1595"/>
      </w:tblGrid>
      <w:tr w:rsidR="00FD6D30" w:rsidRPr="003C4AB6" w:rsidTr="00E801CF">
        <w:tc>
          <w:tcPr>
            <w:tcW w:w="1582" w:type="dxa"/>
            <w:shd w:val="clear" w:color="auto" w:fill="BFBFBF" w:themeFill="background1" w:themeFillShade="BF"/>
            <w:vAlign w:val="center"/>
          </w:tcPr>
          <w:p w:rsidR="00FD6D30" w:rsidRPr="003C4AB6" w:rsidRDefault="00FD6D30"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СЗР</w:t>
            </w:r>
          </w:p>
        </w:tc>
        <w:tc>
          <w:tcPr>
            <w:tcW w:w="1582" w:type="dxa"/>
            <w:shd w:val="clear" w:color="auto" w:fill="BFBFBF" w:themeFill="background1" w:themeFillShade="BF"/>
            <w:vAlign w:val="center"/>
          </w:tcPr>
          <w:p w:rsidR="00FD6D30" w:rsidRPr="003C4AB6" w:rsidRDefault="00FD6D30"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СЦР</w:t>
            </w:r>
          </w:p>
        </w:tc>
        <w:tc>
          <w:tcPr>
            <w:tcW w:w="1583" w:type="dxa"/>
            <w:shd w:val="clear" w:color="auto" w:fill="BFBFBF" w:themeFill="background1" w:themeFillShade="BF"/>
            <w:vAlign w:val="center"/>
          </w:tcPr>
          <w:p w:rsidR="00FD6D30" w:rsidRPr="003C4AB6" w:rsidRDefault="00FD6D30"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СИР</w:t>
            </w:r>
          </w:p>
        </w:tc>
        <w:tc>
          <w:tcPr>
            <w:tcW w:w="1583" w:type="dxa"/>
            <w:shd w:val="clear" w:color="auto" w:fill="BFBFBF" w:themeFill="background1" w:themeFillShade="BF"/>
            <w:vAlign w:val="center"/>
          </w:tcPr>
          <w:p w:rsidR="00FD6D30" w:rsidRPr="003C4AB6" w:rsidRDefault="00E51EA4"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ЮЗР</w:t>
            </w:r>
          </w:p>
        </w:tc>
        <w:tc>
          <w:tcPr>
            <w:tcW w:w="1583" w:type="dxa"/>
            <w:shd w:val="clear" w:color="auto" w:fill="BFBFBF" w:themeFill="background1" w:themeFillShade="BF"/>
            <w:vAlign w:val="center"/>
          </w:tcPr>
          <w:p w:rsidR="00FD6D30" w:rsidRPr="003C4AB6" w:rsidRDefault="00E51EA4"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ЮЦР</w:t>
            </w:r>
          </w:p>
        </w:tc>
        <w:tc>
          <w:tcPr>
            <w:tcW w:w="1583" w:type="dxa"/>
            <w:shd w:val="clear" w:color="auto" w:fill="BFBFBF" w:themeFill="background1" w:themeFillShade="BF"/>
            <w:vAlign w:val="center"/>
          </w:tcPr>
          <w:p w:rsidR="00E801CF" w:rsidRPr="003C4AB6" w:rsidRDefault="00E801CF" w:rsidP="00E801CF">
            <w:pPr>
              <w:pStyle w:val="ListParagraph"/>
              <w:spacing w:after="360"/>
              <w:ind w:left="0"/>
              <w:jc w:val="center"/>
              <w:rPr>
                <w:rFonts w:asciiTheme="minorHAnsi" w:hAnsiTheme="minorHAnsi" w:cstheme="minorHAnsi"/>
                <w:b/>
                <w:sz w:val="22"/>
                <w:szCs w:val="22"/>
              </w:rPr>
            </w:pPr>
          </w:p>
          <w:p w:rsidR="00FD6D30" w:rsidRPr="003C4AB6" w:rsidRDefault="00E51EA4" w:rsidP="00E801CF">
            <w:pPr>
              <w:pStyle w:val="ListParagraph"/>
              <w:spacing w:after="360"/>
              <w:ind w:left="0"/>
              <w:jc w:val="center"/>
              <w:rPr>
                <w:rFonts w:asciiTheme="minorHAnsi" w:hAnsiTheme="minorHAnsi" w:cstheme="minorHAnsi"/>
                <w:b/>
                <w:sz w:val="22"/>
                <w:szCs w:val="22"/>
              </w:rPr>
            </w:pPr>
            <w:r w:rsidRPr="003C4AB6">
              <w:rPr>
                <w:rFonts w:asciiTheme="minorHAnsi" w:hAnsiTheme="minorHAnsi" w:cstheme="minorHAnsi"/>
                <w:b/>
                <w:sz w:val="22"/>
                <w:szCs w:val="22"/>
              </w:rPr>
              <w:t>ЮИР</w:t>
            </w:r>
          </w:p>
        </w:tc>
      </w:tr>
      <w:tr w:rsidR="00FD6D30" w:rsidRPr="003C4AB6" w:rsidTr="00DC4730">
        <w:trPr>
          <w:trHeight w:val="1457"/>
        </w:trPr>
        <w:tc>
          <w:tcPr>
            <w:tcW w:w="1582" w:type="dxa"/>
          </w:tcPr>
          <w:p w:rsidR="00FD6D30" w:rsidRPr="003C4AB6" w:rsidRDefault="00E51EA4" w:rsidP="00185FF2">
            <w:pPr>
              <w:pStyle w:val="ListParagraph"/>
              <w:spacing w:after="360"/>
              <w:ind w:left="0"/>
              <w:jc w:val="center"/>
              <w:rPr>
                <w:rFonts w:asciiTheme="minorHAnsi" w:hAnsiTheme="minorHAnsi" w:cstheme="minorHAnsi"/>
                <w:sz w:val="22"/>
                <w:szCs w:val="22"/>
              </w:rPr>
            </w:pPr>
            <w:proofErr w:type="spellStart"/>
            <w:r w:rsidRPr="003C4AB6">
              <w:rPr>
                <w:rFonts w:asciiTheme="minorHAnsi" w:hAnsiTheme="minorHAnsi" w:cstheme="minorHAnsi"/>
                <w:sz w:val="22"/>
                <w:szCs w:val="22"/>
              </w:rPr>
              <w:t>Мехатроника</w:t>
            </w:r>
            <w:proofErr w:type="spellEnd"/>
            <w:r w:rsidRPr="003C4AB6">
              <w:rPr>
                <w:rFonts w:asciiTheme="minorHAnsi" w:hAnsiTheme="minorHAnsi" w:cstheme="minorHAnsi"/>
                <w:sz w:val="22"/>
                <w:szCs w:val="22"/>
              </w:rPr>
              <w:t xml:space="preserve"> и чисти технологии</w:t>
            </w:r>
          </w:p>
        </w:tc>
        <w:tc>
          <w:tcPr>
            <w:tcW w:w="1582" w:type="dxa"/>
          </w:tcPr>
          <w:p w:rsidR="00FD6D30" w:rsidRPr="003C4AB6" w:rsidRDefault="00E51EA4" w:rsidP="00185FF2">
            <w:pPr>
              <w:pStyle w:val="ListParagraph"/>
              <w:spacing w:after="360"/>
              <w:ind w:left="0"/>
              <w:jc w:val="center"/>
              <w:rPr>
                <w:rFonts w:asciiTheme="minorHAnsi" w:hAnsiTheme="minorHAnsi" w:cstheme="minorHAnsi"/>
                <w:sz w:val="22"/>
                <w:szCs w:val="22"/>
                <w:lang w:val="en-US"/>
              </w:rPr>
            </w:pPr>
            <w:proofErr w:type="spellStart"/>
            <w:r w:rsidRPr="003C4AB6">
              <w:rPr>
                <w:rFonts w:asciiTheme="minorHAnsi" w:hAnsiTheme="minorHAnsi" w:cstheme="minorHAnsi"/>
                <w:sz w:val="22"/>
                <w:szCs w:val="22"/>
              </w:rPr>
              <w:t>Мехатроника</w:t>
            </w:r>
            <w:proofErr w:type="spellEnd"/>
            <w:r w:rsidRPr="003C4AB6">
              <w:rPr>
                <w:rFonts w:asciiTheme="minorHAnsi" w:hAnsiTheme="minorHAnsi" w:cstheme="minorHAnsi"/>
                <w:sz w:val="22"/>
                <w:szCs w:val="22"/>
              </w:rPr>
              <w:t xml:space="preserve"> и чисти технологии</w:t>
            </w:r>
          </w:p>
        </w:tc>
        <w:tc>
          <w:tcPr>
            <w:tcW w:w="1583" w:type="dxa"/>
          </w:tcPr>
          <w:p w:rsidR="00FD6D30" w:rsidRPr="003C4AB6" w:rsidRDefault="00E51EA4" w:rsidP="00185FF2">
            <w:pPr>
              <w:pStyle w:val="ListParagraph"/>
              <w:spacing w:after="360"/>
              <w:ind w:left="0"/>
              <w:jc w:val="center"/>
              <w:rPr>
                <w:rFonts w:asciiTheme="minorHAnsi" w:hAnsiTheme="minorHAnsi" w:cstheme="minorHAnsi"/>
                <w:sz w:val="22"/>
                <w:szCs w:val="22"/>
                <w:lang w:val="en-US"/>
              </w:rPr>
            </w:pPr>
            <w:proofErr w:type="spellStart"/>
            <w:r w:rsidRPr="003C4AB6">
              <w:rPr>
                <w:rFonts w:asciiTheme="minorHAnsi" w:hAnsiTheme="minorHAnsi" w:cstheme="minorHAnsi"/>
                <w:sz w:val="22"/>
                <w:szCs w:val="22"/>
              </w:rPr>
              <w:t>Мехатроника</w:t>
            </w:r>
            <w:proofErr w:type="spellEnd"/>
            <w:r w:rsidRPr="003C4AB6">
              <w:rPr>
                <w:rFonts w:asciiTheme="minorHAnsi" w:hAnsiTheme="minorHAnsi" w:cstheme="minorHAnsi"/>
                <w:sz w:val="22"/>
                <w:szCs w:val="22"/>
              </w:rPr>
              <w:t xml:space="preserve"> и чисти технологии</w:t>
            </w:r>
          </w:p>
        </w:tc>
        <w:tc>
          <w:tcPr>
            <w:tcW w:w="1583" w:type="dxa"/>
          </w:tcPr>
          <w:p w:rsidR="00FD6D30" w:rsidRPr="003C4AB6" w:rsidRDefault="00336F1F"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Информатика и ИКТ</w:t>
            </w:r>
          </w:p>
        </w:tc>
        <w:tc>
          <w:tcPr>
            <w:tcW w:w="1583" w:type="dxa"/>
          </w:tcPr>
          <w:p w:rsidR="00FD6D30" w:rsidRPr="003C4AB6" w:rsidRDefault="00336F1F" w:rsidP="00185FF2">
            <w:pPr>
              <w:pStyle w:val="ListParagraph"/>
              <w:spacing w:after="360"/>
              <w:ind w:left="0"/>
              <w:jc w:val="center"/>
              <w:rPr>
                <w:rFonts w:asciiTheme="minorHAnsi" w:hAnsiTheme="minorHAnsi" w:cstheme="minorHAnsi"/>
                <w:sz w:val="22"/>
                <w:szCs w:val="22"/>
              </w:rPr>
            </w:pPr>
            <w:r w:rsidRPr="003C4AB6">
              <w:rPr>
                <w:rFonts w:asciiTheme="minorHAnsi" w:hAnsiTheme="minorHAnsi" w:cstheme="minorHAnsi"/>
                <w:sz w:val="22"/>
                <w:szCs w:val="22"/>
              </w:rPr>
              <w:t>Информатика и ИКТ</w:t>
            </w:r>
          </w:p>
        </w:tc>
        <w:tc>
          <w:tcPr>
            <w:tcW w:w="1583" w:type="dxa"/>
          </w:tcPr>
          <w:p w:rsidR="00FD6D30" w:rsidRPr="003C4AB6" w:rsidRDefault="00336F1F"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Нови технологии в креативните и </w:t>
            </w:r>
            <w:proofErr w:type="spellStart"/>
            <w:r w:rsidRPr="003C4AB6">
              <w:rPr>
                <w:rFonts w:asciiTheme="minorHAnsi" w:hAnsiTheme="minorHAnsi" w:cstheme="minorHAnsi"/>
                <w:sz w:val="22"/>
                <w:szCs w:val="22"/>
              </w:rPr>
              <w:t>рекреативните</w:t>
            </w:r>
            <w:proofErr w:type="spellEnd"/>
            <w:r w:rsidRPr="003C4AB6">
              <w:rPr>
                <w:rFonts w:asciiTheme="minorHAnsi" w:hAnsiTheme="minorHAnsi" w:cstheme="minorHAnsi"/>
                <w:sz w:val="22"/>
                <w:szCs w:val="22"/>
              </w:rPr>
              <w:t xml:space="preserve"> индустрии</w:t>
            </w:r>
          </w:p>
        </w:tc>
      </w:tr>
      <w:tr w:rsidR="00185FF2" w:rsidRPr="003C4AB6" w:rsidTr="00FD6D30">
        <w:tc>
          <w:tcPr>
            <w:tcW w:w="1582" w:type="dxa"/>
          </w:tcPr>
          <w:p w:rsidR="00185FF2" w:rsidRPr="003C4AB6" w:rsidRDefault="00185FF2" w:rsidP="00185FF2">
            <w:pPr>
              <w:pStyle w:val="ListParagraph"/>
              <w:spacing w:after="360"/>
              <w:ind w:left="0"/>
              <w:jc w:val="center"/>
              <w:rPr>
                <w:rFonts w:asciiTheme="minorHAnsi" w:hAnsiTheme="minorHAnsi" w:cstheme="minorHAnsi"/>
                <w:sz w:val="22"/>
                <w:szCs w:val="22"/>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c>
          <w:tcPr>
            <w:tcW w:w="1582"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c>
          <w:tcPr>
            <w:tcW w:w="1583" w:type="dxa"/>
          </w:tcPr>
          <w:p w:rsidR="00185FF2" w:rsidRPr="003C4AB6" w:rsidRDefault="00336F1F"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Нови технологии в креативните и </w:t>
            </w:r>
            <w:proofErr w:type="spellStart"/>
            <w:r w:rsidRPr="003C4AB6">
              <w:rPr>
                <w:rFonts w:asciiTheme="minorHAnsi" w:hAnsiTheme="minorHAnsi" w:cstheme="minorHAnsi"/>
                <w:sz w:val="22"/>
                <w:szCs w:val="22"/>
              </w:rPr>
              <w:t>рекреативните</w:t>
            </w:r>
            <w:proofErr w:type="spellEnd"/>
            <w:r w:rsidRPr="003C4AB6">
              <w:rPr>
                <w:rFonts w:asciiTheme="minorHAnsi" w:hAnsiTheme="minorHAnsi" w:cstheme="minorHAnsi"/>
                <w:sz w:val="22"/>
                <w:szCs w:val="22"/>
              </w:rPr>
              <w:t xml:space="preserve"> индустрии</w:t>
            </w:r>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proofErr w:type="spellStart"/>
            <w:r w:rsidRPr="003C4AB6">
              <w:rPr>
                <w:rFonts w:asciiTheme="minorHAnsi" w:hAnsiTheme="minorHAnsi" w:cstheme="minorHAnsi"/>
                <w:sz w:val="22"/>
                <w:szCs w:val="22"/>
              </w:rPr>
              <w:t>Мехатроника</w:t>
            </w:r>
            <w:proofErr w:type="spellEnd"/>
            <w:r w:rsidRPr="003C4AB6">
              <w:rPr>
                <w:rFonts w:asciiTheme="minorHAnsi" w:hAnsiTheme="minorHAnsi" w:cstheme="minorHAnsi"/>
                <w:sz w:val="22"/>
                <w:szCs w:val="22"/>
              </w:rPr>
              <w:t xml:space="preserve"> и чисти технологии</w:t>
            </w:r>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proofErr w:type="spellStart"/>
            <w:r w:rsidRPr="003C4AB6">
              <w:rPr>
                <w:rFonts w:asciiTheme="minorHAnsi" w:hAnsiTheme="minorHAnsi" w:cstheme="minorHAnsi"/>
                <w:sz w:val="22"/>
                <w:szCs w:val="22"/>
              </w:rPr>
              <w:t>Мехатроника</w:t>
            </w:r>
            <w:proofErr w:type="spellEnd"/>
            <w:r w:rsidRPr="003C4AB6">
              <w:rPr>
                <w:rFonts w:asciiTheme="minorHAnsi" w:hAnsiTheme="minorHAnsi" w:cstheme="minorHAnsi"/>
                <w:sz w:val="22"/>
                <w:szCs w:val="22"/>
              </w:rPr>
              <w:t xml:space="preserve"> и чисти технологии</w:t>
            </w:r>
          </w:p>
        </w:tc>
      </w:tr>
      <w:tr w:rsidR="00185FF2" w:rsidRPr="003C4AB6" w:rsidTr="00FD6D30">
        <w:tc>
          <w:tcPr>
            <w:tcW w:w="1582" w:type="dxa"/>
          </w:tcPr>
          <w:p w:rsidR="00185FF2" w:rsidRPr="003C4AB6" w:rsidRDefault="00336F1F" w:rsidP="00185FF2">
            <w:pPr>
              <w:pStyle w:val="ListParagraph"/>
              <w:spacing w:after="360"/>
              <w:ind w:left="0"/>
              <w:jc w:val="center"/>
              <w:rPr>
                <w:rFonts w:asciiTheme="minorHAnsi" w:hAnsiTheme="minorHAnsi" w:cstheme="minorHAnsi"/>
                <w:sz w:val="22"/>
                <w:szCs w:val="22"/>
              </w:rPr>
            </w:pPr>
            <w:r w:rsidRPr="003C4AB6">
              <w:rPr>
                <w:rFonts w:asciiTheme="minorHAnsi" w:hAnsiTheme="minorHAnsi" w:cstheme="minorHAnsi"/>
                <w:sz w:val="22"/>
                <w:szCs w:val="22"/>
              </w:rPr>
              <w:t xml:space="preserve">Нови технологии в креативните и </w:t>
            </w:r>
            <w:proofErr w:type="spellStart"/>
            <w:r w:rsidRPr="003C4AB6">
              <w:rPr>
                <w:rFonts w:asciiTheme="minorHAnsi" w:hAnsiTheme="minorHAnsi" w:cstheme="minorHAnsi"/>
                <w:sz w:val="22"/>
                <w:szCs w:val="22"/>
              </w:rPr>
              <w:t>рекреативните</w:t>
            </w:r>
            <w:proofErr w:type="spellEnd"/>
            <w:r w:rsidRPr="003C4AB6">
              <w:rPr>
                <w:rFonts w:asciiTheme="minorHAnsi" w:hAnsiTheme="minorHAnsi" w:cstheme="minorHAnsi"/>
                <w:sz w:val="22"/>
                <w:szCs w:val="22"/>
              </w:rPr>
              <w:t xml:space="preserve"> индустрии</w:t>
            </w:r>
          </w:p>
        </w:tc>
        <w:tc>
          <w:tcPr>
            <w:tcW w:w="1582" w:type="dxa"/>
          </w:tcPr>
          <w:p w:rsidR="00185FF2" w:rsidRPr="003C4AB6" w:rsidRDefault="00336F1F"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Информатика и ИКТ</w:t>
            </w:r>
          </w:p>
        </w:tc>
        <w:tc>
          <w:tcPr>
            <w:tcW w:w="1583" w:type="dxa"/>
          </w:tcPr>
          <w:p w:rsidR="00185FF2" w:rsidRPr="003C4AB6" w:rsidRDefault="00336F1F"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Нови технологии в креативните и </w:t>
            </w:r>
            <w:proofErr w:type="spellStart"/>
            <w:r w:rsidRPr="003C4AB6">
              <w:rPr>
                <w:rFonts w:asciiTheme="minorHAnsi" w:hAnsiTheme="minorHAnsi" w:cstheme="minorHAnsi"/>
                <w:sz w:val="22"/>
                <w:szCs w:val="22"/>
              </w:rPr>
              <w:t>рекреативните</w:t>
            </w:r>
            <w:proofErr w:type="spellEnd"/>
            <w:r w:rsidRPr="003C4AB6">
              <w:rPr>
                <w:rFonts w:asciiTheme="minorHAnsi" w:hAnsiTheme="minorHAnsi" w:cstheme="minorHAnsi"/>
                <w:sz w:val="22"/>
                <w:szCs w:val="22"/>
              </w:rPr>
              <w:t xml:space="preserve"> индустрии</w:t>
            </w:r>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c>
          <w:tcPr>
            <w:tcW w:w="1583" w:type="dxa"/>
          </w:tcPr>
          <w:p w:rsidR="00185FF2" w:rsidRPr="003C4AB6" w:rsidRDefault="00185FF2" w:rsidP="00185FF2">
            <w:pPr>
              <w:pStyle w:val="ListParagraph"/>
              <w:spacing w:after="360"/>
              <w:ind w:left="0"/>
              <w:jc w:val="center"/>
              <w:rPr>
                <w:rFonts w:asciiTheme="minorHAnsi" w:hAnsiTheme="minorHAnsi" w:cstheme="minorHAnsi"/>
                <w:sz w:val="22"/>
                <w:szCs w:val="22"/>
                <w:lang w:val="en-US"/>
              </w:rPr>
            </w:pPr>
            <w:r w:rsidRPr="003C4AB6">
              <w:rPr>
                <w:rFonts w:asciiTheme="minorHAnsi" w:hAnsiTheme="minorHAnsi" w:cstheme="minorHAnsi"/>
                <w:sz w:val="22"/>
                <w:szCs w:val="22"/>
              </w:rPr>
              <w:t xml:space="preserve">Здравословен начин на живот и </w:t>
            </w:r>
            <w:proofErr w:type="spellStart"/>
            <w:r w:rsidRPr="003C4AB6">
              <w:rPr>
                <w:rFonts w:asciiTheme="minorHAnsi" w:hAnsiTheme="minorHAnsi" w:cstheme="minorHAnsi"/>
                <w:sz w:val="22"/>
                <w:szCs w:val="22"/>
              </w:rPr>
              <w:t>биотехнологии</w:t>
            </w:r>
            <w:proofErr w:type="spellEnd"/>
          </w:p>
        </w:tc>
      </w:tr>
    </w:tbl>
    <w:p w:rsidR="003C1356" w:rsidRPr="003C4AB6" w:rsidRDefault="003C1356"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p>
    <w:p w:rsidR="002966E7" w:rsidRPr="003C4AB6" w:rsidRDefault="008F6722"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lang w:val="en-US"/>
        </w:rPr>
        <w:lastRenderedPageBreak/>
        <w:t xml:space="preserve">- </w:t>
      </w:r>
      <w:proofErr w:type="gramStart"/>
      <w:r w:rsidR="007B759D" w:rsidRPr="003C4AB6">
        <w:rPr>
          <w:sz w:val="24"/>
          <w:szCs w:val="24"/>
        </w:rPr>
        <w:t>се</w:t>
      </w:r>
      <w:proofErr w:type="gramEnd"/>
      <w:r w:rsidR="00C5537D" w:rsidRPr="003C4AB6">
        <w:rPr>
          <w:sz w:val="24"/>
          <w:szCs w:val="24"/>
        </w:rPr>
        <w:t xml:space="preserve"> изпълнява</w:t>
      </w:r>
      <w:r w:rsidR="007B759D" w:rsidRPr="003C4AB6">
        <w:rPr>
          <w:sz w:val="24"/>
          <w:szCs w:val="24"/>
        </w:rPr>
        <w:t>т</w:t>
      </w:r>
      <w:r w:rsidR="00C5537D" w:rsidRPr="003C4AB6">
        <w:rPr>
          <w:sz w:val="24"/>
          <w:szCs w:val="24"/>
        </w:rPr>
        <w:t xml:space="preserve"> на територията на Северозападния район за планиране</w:t>
      </w:r>
      <w:r w:rsidR="00DD4DEB" w:rsidRPr="003C4AB6">
        <w:rPr>
          <w:rStyle w:val="FootnoteReference"/>
          <w:sz w:val="24"/>
          <w:szCs w:val="24"/>
        </w:rPr>
        <w:footnoteReference w:id="16"/>
      </w:r>
      <w:r w:rsidR="00C5537D" w:rsidRPr="003C4AB6">
        <w:rPr>
          <w:sz w:val="24"/>
          <w:szCs w:val="24"/>
        </w:rPr>
        <w:t xml:space="preserve"> в съответствие с предвиденото в Споразумението за партньорство прилагане на териториален подход за целенасочена подкрепа на този район</w:t>
      </w:r>
      <w:r w:rsidRPr="003C4AB6">
        <w:rPr>
          <w:sz w:val="24"/>
          <w:szCs w:val="24"/>
        </w:rPr>
        <w:t>;</w:t>
      </w:r>
    </w:p>
    <w:p w:rsidR="00DC4747" w:rsidRPr="003C4AB6" w:rsidRDefault="00DC4747"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DC4747" w:rsidRPr="003C4AB6" w:rsidRDefault="00DC4747" w:rsidP="00C5537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912E3">
        <w:rPr>
          <w:b/>
          <w:sz w:val="24"/>
          <w:szCs w:val="24"/>
        </w:rPr>
        <w:t xml:space="preserve">ВАЖНО: </w:t>
      </w:r>
      <w:r w:rsidR="00BB1861" w:rsidRPr="00D912E3">
        <w:rPr>
          <w:sz w:val="24"/>
          <w:szCs w:val="24"/>
        </w:rPr>
        <w:t>С оглед на коректната оценка на проектните предложения</w:t>
      </w:r>
      <w:r w:rsidR="0097629E" w:rsidRPr="00D912E3">
        <w:rPr>
          <w:sz w:val="24"/>
          <w:szCs w:val="24"/>
        </w:rPr>
        <w:t xml:space="preserve"> по критерий </w:t>
      </w:r>
      <w:r w:rsidR="0028228B" w:rsidRPr="00D912E3">
        <w:rPr>
          <w:sz w:val="24"/>
          <w:szCs w:val="24"/>
        </w:rPr>
        <w:t>„Регионална специализация съгласно ИСИС“ и</w:t>
      </w:r>
      <w:r w:rsidR="00BB1861" w:rsidRPr="00D912E3">
        <w:rPr>
          <w:sz w:val="24"/>
          <w:szCs w:val="24"/>
        </w:rPr>
        <w:t xml:space="preserve"> критерий</w:t>
      </w:r>
      <w:r w:rsidR="0028228B" w:rsidRPr="00D912E3">
        <w:rPr>
          <w:sz w:val="24"/>
          <w:szCs w:val="24"/>
        </w:rPr>
        <w:t xml:space="preserve"> „Регионална </w:t>
      </w:r>
      <w:proofErr w:type="spellStart"/>
      <w:r w:rsidR="0028228B" w:rsidRPr="00D912E3">
        <w:rPr>
          <w:sz w:val="24"/>
          <w:szCs w:val="24"/>
        </w:rPr>
        <w:t>приоритизация</w:t>
      </w:r>
      <w:proofErr w:type="spellEnd"/>
      <w:r w:rsidR="0028228B" w:rsidRPr="00D912E3">
        <w:rPr>
          <w:sz w:val="24"/>
          <w:szCs w:val="24"/>
        </w:rPr>
        <w:t xml:space="preserve"> за проекти, изпълнявани на територията на СЗР“</w:t>
      </w:r>
      <w:r w:rsidR="00F8071C" w:rsidRPr="00D912E3">
        <w:rPr>
          <w:sz w:val="24"/>
          <w:szCs w:val="24"/>
        </w:rPr>
        <w:t>,</w:t>
      </w:r>
      <w:r w:rsidR="00086E45" w:rsidRPr="00D912E3">
        <w:rPr>
          <w:sz w:val="24"/>
          <w:szCs w:val="24"/>
        </w:rPr>
        <w:t xml:space="preserve"> </w:t>
      </w:r>
      <w:r w:rsidR="005539A0" w:rsidRPr="00D912E3">
        <w:rPr>
          <w:sz w:val="24"/>
          <w:szCs w:val="24"/>
        </w:rPr>
        <w:t>за район на изпълнение на проекта</w:t>
      </w:r>
      <w:r w:rsidR="0012489C" w:rsidRPr="00D912E3">
        <w:rPr>
          <w:sz w:val="24"/>
          <w:szCs w:val="24"/>
        </w:rPr>
        <w:t xml:space="preserve"> се приема рай</w:t>
      </w:r>
      <w:r w:rsidR="00C97FC2" w:rsidRPr="00D912E3">
        <w:rPr>
          <w:sz w:val="24"/>
          <w:szCs w:val="24"/>
        </w:rPr>
        <w:t xml:space="preserve">онът с най-голям дял на </w:t>
      </w:r>
      <w:r w:rsidR="00D41E5F" w:rsidRPr="00D912E3">
        <w:rPr>
          <w:sz w:val="24"/>
          <w:szCs w:val="24"/>
        </w:rPr>
        <w:t>заложени</w:t>
      </w:r>
      <w:r w:rsidR="00C97FC2" w:rsidRPr="00D912E3">
        <w:rPr>
          <w:sz w:val="24"/>
          <w:szCs w:val="24"/>
        </w:rPr>
        <w:t xml:space="preserve"> разходи </w:t>
      </w:r>
      <w:r w:rsidR="00F0146F" w:rsidRPr="00D912E3">
        <w:rPr>
          <w:sz w:val="24"/>
          <w:szCs w:val="24"/>
        </w:rPr>
        <w:t>в бюджета</w:t>
      </w:r>
      <w:r w:rsidR="00C97FC2" w:rsidRPr="00D912E3">
        <w:rPr>
          <w:sz w:val="24"/>
          <w:szCs w:val="24"/>
        </w:rPr>
        <w:t>.</w:t>
      </w:r>
      <w:r w:rsidR="00E67B6D" w:rsidRPr="00D912E3">
        <w:rPr>
          <w:sz w:val="24"/>
          <w:szCs w:val="24"/>
        </w:rPr>
        <w:t xml:space="preserve"> </w:t>
      </w:r>
      <w:r w:rsidR="006B70AE" w:rsidRPr="00D912E3">
        <w:rPr>
          <w:sz w:val="24"/>
          <w:szCs w:val="24"/>
        </w:rPr>
        <w:t xml:space="preserve"> </w:t>
      </w:r>
      <w:r w:rsidR="006B70AE" w:rsidRPr="00D912E3">
        <w:rPr>
          <w:rFonts w:ascii="Calibri" w:eastAsia="Calibri" w:hAnsi="Calibri" w:cs="Times New Roman"/>
          <w:sz w:val="24"/>
          <w:szCs w:val="24"/>
        </w:rPr>
        <w:t>В случай че проектът се изпълнява в повече от една от тематичните области на ИСИС, за основна тематична област на проекта ще бъде оп</w:t>
      </w:r>
      <w:r w:rsidR="008A26DE" w:rsidRPr="00D912E3">
        <w:rPr>
          <w:rFonts w:ascii="Calibri" w:eastAsia="Calibri" w:hAnsi="Calibri" w:cs="Times New Roman"/>
          <w:sz w:val="24"/>
          <w:szCs w:val="24"/>
        </w:rPr>
        <w:t>ределена тази с най-голям дял на заложени разходи в бюджета</w:t>
      </w:r>
      <w:r w:rsidR="006B70AE" w:rsidRPr="00D912E3">
        <w:rPr>
          <w:rFonts w:ascii="Calibri" w:eastAsia="Calibri" w:hAnsi="Calibri" w:cs="Times New Roman"/>
          <w:sz w:val="24"/>
          <w:szCs w:val="24"/>
        </w:rPr>
        <w:t>.</w:t>
      </w:r>
      <w:r w:rsidR="006B70AE" w:rsidRPr="006B70AE">
        <w:rPr>
          <w:rFonts w:ascii="Calibri" w:eastAsia="Calibri" w:hAnsi="Calibri" w:cs="Times New Roman"/>
          <w:sz w:val="24"/>
          <w:szCs w:val="24"/>
        </w:rPr>
        <w:t xml:space="preserve"> </w:t>
      </w:r>
      <w:r w:rsidR="00E67B6D" w:rsidRPr="003C4AB6">
        <w:rPr>
          <w:sz w:val="24"/>
          <w:szCs w:val="24"/>
        </w:rPr>
        <w:t>З</w:t>
      </w:r>
      <w:r w:rsidR="00F0791C" w:rsidRPr="003C4AB6">
        <w:rPr>
          <w:sz w:val="24"/>
          <w:szCs w:val="24"/>
        </w:rPr>
        <w:t>акупените</w:t>
      </w:r>
      <w:r w:rsidRPr="003C4AB6">
        <w:rPr>
          <w:sz w:val="24"/>
          <w:szCs w:val="24"/>
        </w:rPr>
        <w:t xml:space="preserve"> по проекта дълготрайни матер</w:t>
      </w:r>
      <w:r w:rsidR="00F0791C" w:rsidRPr="003C4AB6">
        <w:rPr>
          <w:sz w:val="24"/>
          <w:szCs w:val="24"/>
        </w:rPr>
        <w:t>иални и нематериални активи следва</w:t>
      </w:r>
      <w:r w:rsidRPr="003C4AB6">
        <w:rPr>
          <w:sz w:val="24"/>
          <w:szCs w:val="24"/>
        </w:rPr>
        <w:t xml:space="preserve"> да бъдат използвани в </w:t>
      </w:r>
      <w:r w:rsidR="00447B1A" w:rsidRPr="003C4AB6">
        <w:rPr>
          <w:sz w:val="24"/>
          <w:szCs w:val="24"/>
        </w:rPr>
        <w:t>съответния</w:t>
      </w:r>
      <w:r w:rsidRPr="003C4AB6">
        <w:rPr>
          <w:sz w:val="24"/>
          <w:szCs w:val="24"/>
        </w:rPr>
        <w:t xml:space="preserve"> район и</w:t>
      </w:r>
      <w:r w:rsidR="00447B1A" w:rsidRPr="003C4AB6">
        <w:rPr>
          <w:sz w:val="24"/>
          <w:szCs w:val="24"/>
        </w:rPr>
        <w:t xml:space="preserve"> да останат свързани с този рай</w:t>
      </w:r>
      <w:r w:rsidRPr="003C4AB6">
        <w:rPr>
          <w:sz w:val="24"/>
          <w:szCs w:val="24"/>
        </w:rPr>
        <w:t xml:space="preserve">он за срок от минимум три години за </w:t>
      </w:r>
      <w:proofErr w:type="spellStart"/>
      <w:r w:rsidRPr="003C4AB6">
        <w:rPr>
          <w:sz w:val="24"/>
          <w:szCs w:val="24"/>
        </w:rPr>
        <w:t>микро</w:t>
      </w:r>
      <w:proofErr w:type="spellEnd"/>
      <w:r w:rsidRPr="003C4AB6">
        <w:rPr>
          <w:sz w:val="24"/>
          <w:szCs w:val="24"/>
        </w:rPr>
        <w:t>, малки и средни предприятия и за срок от 5 години за големи предприятия.</w:t>
      </w:r>
    </w:p>
    <w:p w:rsidR="00E90F91" w:rsidRPr="003C4AB6" w:rsidRDefault="00E90F91" w:rsidP="00014B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93F1D" w:rsidRPr="003C4AB6" w:rsidRDefault="00E90F91" w:rsidP="00014B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66215F" w:rsidRPr="003C4AB6">
        <w:rPr>
          <w:sz w:val="24"/>
          <w:szCs w:val="24"/>
        </w:rPr>
        <w:t>включват</w:t>
      </w:r>
      <w:r w:rsidR="002966E7" w:rsidRPr="003C4AB6">
        <w:rPr>
          <w:sz w:val="24"/>
          <w:szCs w:val="24"/>
        </w:rPr>
        <w:t xml:space="preserve"> </w:t>
      </w:r>
      <w:r w:rsidR="00747649" w:rsidRPr="003C4AB6">
        <w:rPr>
          <w:rFonts w:ascii="Calibri" w:eastAsia="Times New Roman" w:hAnsi="Calibri" w:cs="Calibri"/>
          <w:sz w:val="24"/>
          <w:szCs w:val="24"/>
          <w:lang w:eastAsia="pl-PL"/>
        </w:rPr>
        <w:t xml:space="preserve">участие на </w:t>
      </w:r>
      <w:r w:rsidR="00747649" w:rsidRPr="000A43E9">
        <w:rPr>
          <w:rFonts w:ascii="Calibri" w:eastAsia="Times New Roman" w:hAnsi="Calibri" w:cs="Calibri"/>
          <w:sz w:val="24"/>
          <w:szCs w:val="24"/>
          <w:lang w:eastAsia="pl-PL"/>
        </w:rPr>
        <w:t xml:space="preserve">членове на екипа на кандидата </w:t>
      </w:r>
      <w:r w:rsidR="0056776E" w:rsidRPr="000A43E9">
        <w:rPr>
          <w:rFonts w:ascii="Calibri" w:eastAsia="Times New Roman" w:hAnsi="Calibri" w:cs="Calibri"/>
          <w:sz w:val="24"/>
          <w:szCs w:val="24"/>
          <w:lang w:eastAsia="pl-PL"/>
        </w:rPr>
        <w:t>като ключови експерти в проекти в областта на разработваната иновация</w:t>
      </w:r>
      <w:r w:rsidR="005835BD" w:rsidRPr="000A43E9">
        <w:rPr>
          <w:rFonts w:ascii="Calibri" w:eastAsia="Times New Roman" w:hAnsi="Calibri" w:cs="Calibri"/>
          <w:sz w:val="24"/>
          <w:szCs w:val="24"/>
          <w:lang w:eastAsia="pl-PL"/>
        </w:rPr>
        <w:t>, финансирани</w:t>
      </w:r>
      <w:r w:rsidR="005835BD">
        <w:rPr>
          <w:rFonts w:ascii="Calibri" w:eastAsia="Times New Roman" w:hAnsi="Calibri" w:cs="Calibri"/>
          <w:sz w:val="24"/>
          <w:szCs w:val="24"/>
          <w:lang w:eastAsia="pl-PL"/>
        </w:rPr>
        <w:t xml:space="preserve"> </w:t>
      </w:r>
      <w:r w:rsidR="00274DA1">
        <w:rPr>
          <w:rFonts w:ascii="Calibri" w:eastAsia="Times New Roman" w:hAnsi="Calibri" w:cs="Calibri"/>
          <w:sz w:val="24"/>
          <w:szCs w:val="24"/>
          <w:lang w:eastAsia="pl-PL"/>
        </w:rPr>
        <w:t>по</w:t>
      </w:r>
      <w:r w:rsidR="00274DA1" w:rsidRPr="003C4AB6">
        <w:rPr>
          <w:rFonts w:ascii="Calibri" w:eastAsia="Times New Roman" w:hAnsi="Calibri" w:cs="Calibri"/>
          <w:sz w:val="24"/>
          <w:szCs w:val="24"/>
          <w:lang w:eastAsia="pl-PL"/>
        </w:rPr>
        <w:t xml:space="preserve"> </w:t>
      </w:r>
      <w:r w:rsidR="00747649" w:rsidRPr="003C4AB6">
        <w:rPr>
          <w:rFonts w:ascii="Calibri" w:eastAsia="Times New Roman" w:hAnsi="Calibri" w:cs="Calibri"/>
          <w:sz w:val="24"/>
          <w:szCs w:val="24"/>
          <w:lang w:eastAsia="pl-PL"/>
        </w:rPr>
        <w:t>Рамковите програми</w:t>
      </w:r>
      <w:r w:rsidR="00747649" w:rsidRPr="003C4AB6">
        <w:rPr>
          <w:rFonts w:ascii="Calibri" w:eastAsia="Times New Roman" w:hAnsi="Calibri" w:cs="Calibri"/>
          <w:sz w:val="24"/>
          <w:szCs w:val="24"/>
          <w:lang w:val="en-US" w:eastAsia="pl-PL"/>
        </w:rPr>
        <w:t xml:space="preserve"> </w:t>
      </w:r>
      <w:r w:rsidR="00747649" w:rsidRPr="003C4AB6">
        <w:rPr>
          <w:rFonts w:ascii="Calibri" w:eastAsia="Times New Roman" w:hAnsi="Calibri" w:cs="Calibri"/>
          <w:sz w:val="24"/>
          <w:szCs w:val="24"/>
          <w:lang w:eastAsia="pl-PL"/>
        </w:rPr>
        <w:t>на ЕС</w:t>
      </w:r>
      <w:r w:rsidR="00747649" w:rsidRPr="003C4AB6">
        <w:rPr>
          <w:rFonts w:ascii="Calibri" w:eastAsia="Times New Roman" w:hAnsi="Calibri" w:cs="Calibri"/>
          <w:sz w:val="24"/>
          <w:szCs w:val="24"/>
          <w:vertAlign w:val="superscript"/>
          <w:lang w:eastAsia="pl-PL"/>
        </w:rPr>
        <w:footnoteReference w:id="17"/>
      </w:r>
      <w:r w:rsidR="00747649" w:rsidRPr="003C4AB6">
        <w:rPr>
          <w:rFonts w:ascii="Calibri" w:eastAsia="Times New Roman" w:hAnsi="Calibri" w:cs="Calibri"/>
          <w:sz w:val="24"/>
          <w:szCs w:val="24"/>
          <w:lang w:eastAsia="pl-PL"/>
        </w:rPr>
        <w:t xml:space="preserve"> </w:t>
      </w:r>
      <w:r w:rsidR="00993F1D" w:rsidRPr="003C4AB6">
        <w:rPr>
          <w:sz w:val="24"/>
          <w:szCs w:val="24"/>
        </w:rPr>
        <w:t>;</w:t>
      </w:r>
    </w:p>
    <w:p w:rsidR="00E90F91" w:rsidRPr="003C4AB6" w:rsidRDefault="00E90F91" w:rsidP="00014B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24790" w:rsidRPr="003C4AB6" w:rsidRDefault="00E90F91" w:rsidP="00014B3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66215F" w:rsidRPr="003C4AB6">
        <w:rPr>
          <w:sz w:val="24"/>
          <w:szCs w:val="24"/>
        </w:rPr>
        <w:t xml:space="preserve">включват  дейности за </w:t>
      </w:r>
      <w:r w:rsidR="005844B6" w:rsidRPr="003C4AB6">
        <w:rPr>
          <w:sz w:val="24"/>
          <w:szCs w:val="24"/>
        </w:rPr>
        <w:t>разработване</w:t>
      </w:r>
      <w:r w:rsidR="0066215F" w:rsidRPr="003C4AB6">
        <w:rPr>
          <w:sz w:val="24"/>
          <w:szCs w:val="24"/>
        </w:rPr>
        <w:t xml:space="preserve"> на </w:t>
      </w:r>
      <w:proofErr w:type="spellStart"/>
      <w:r w:rsidR="0066215F" w:rsidRPr="003C4AB6">
        <w:rPr>
          <w:sz w:val="24"/>
          <w:szCs w:val="24"/>
        </w:rPr>
        <w:t>еко-иновации</w:t>
      </w:r>
      <w:proofErr w:type="spellEnd"/>
      <w:r w:rsidR="0066215F" w:rsidRPr="003C4AB6">
        <w:rPr>
          <w:rStyle w:val="FootnoteReference"/>
          <w:sz w:val="24"/>
          <w:szCs w:val="24"/>
        </w:rPr>
        <w:footnoteReference w:id="18"/>
      </w:r>
      <w:r w:rsidR="00624790" w:rsidRPr="003C4AB6">
        <w:rPr>
          <w:sz w:val="24"/>
          <w:szCs w:val="24"/>
        </w:rPr>
        <w:t>.</w:t>
      </w:r>
    </w:p>
    <w:p w:rsidR="00CB14EE" w:rsidRPr="003C4AB6" w:rsidRDefault="00CB14EE" w:rsidP="002325A3">
      <w:pPr>
        <w:pStyle w:val="ListParagraph"/>
        <w:spacing w:after="360" w:line="240" w:lineRule="auto"/>
        <w:ind w:left="0"/>
        <w:jc w:val="both"/>
        <w:rPr>
          <w:b/>
          <w:sz w:val="10"/>
          <w:szCs w:val="10"/>
        </w:rPr>
      </w:pPr>
    </w:p>
    <w:p w:rsidR="00F7626C" w:rsidRPr="003C4AB6" w:rsidRDefault="00F7626C" w:rsidP="002E627B">
      <w:pPr>
        <w:pStyle w:val="Heading2"/>
        <w:spacing w:before="120" w:after="120"/>
      </w:pPr>
      <w:bookmarkStart w:id="23" w:name="_Toc442298726"/>
      <w:r w:rsidRPr="003C4AB6">
        <w:t>16. Приложим режим на минимални/държавни помощи:</w:t>
      </w:r>
      <w:bookmarkEnd w:id="23"/>
    </w:p>
    <w:p w:rsidR="0088296B" w:rsidRPr="003C4AB6" w:rsidRDefault="00AA0F83" w:rsidP="003C065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Помощ „</w:t>
      </w:r>
      <w:r w:rsidRPr="003C4AB6">
        <w:rPr>
          <w:b/>
          <w:sz w:val="24"/>
          <w:szCs w:val="24"/>
          <w:lang w:val="en-US"/>
        </w:rPr>
        <w:t>de</w:t>
      </w:r>
      <w:r w:rsidRPr="003C4AB6">
        <w:rPr>
          <w:b/>
          <w:sz w:val="24"/>
          <w:szCs w:val="24"/>
        </w:rPr>
        <w:t xml:space="preserve"> </w:t>
      </w:r>
      <w:proofErr w:type="spellStart"/>
      <w:r w:rsidRPr="003C4AB6">
        <w:rPr>
          <w:b/>
          <w:sz w:val="24"/>
          <w:szCs w:val="24"/>
          <w:lang w:val="en-US"/>
        </w:rPr>
        <w:t>minimis</w:t>
      </w:r>
      <w:proofErr w:type="spellEnd"/>
      <w:r w:rsidRPr="003C4AB6">
        <w:rPr>
          <w:b/>
          <w:sz w:val="24"/>
          <w:szCs w:val="24"/>
          <w:lang w:val="en-US"/>
        </w:rPr>
        <w:t>”</w:t>
      </w:r>
      <w:r w:rsidRPr="003C4AB6">
        <w:rPr>
          <w:sz w:val="24"/>
          <w:szCs w:val="24"/>
        </w:rPr>
        <w:t xml:space="preserve"> 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w:t>
      </w:r>
      <w:r w:rsidRPr="003C4AB6">
        <w:rPr>
          <w:sz w:val="24"/>
          <w:szCs w:val="24"/>
          <w:lang w:val="en-US"/>
        </w:rPr>
        <w:t>de</w:t>
      </w:r>
      <w:r w:rsidRPr="003C4AB6">
        <w:rPr>
          <w:sz w:val="24"/>
          <w:szCs w:val="24"/>
        </w:rPr>
        <w:t xml:space="preserve"> </w:t>
      </w:r>
      <w:proofErr w:type="spellStart"/>
      <w:r w:rsidRPr="003C4AB6">
        <w:rPr>
          <w:sz w:val="24"/>
          <w:szCs w:val="24"/>
          <w:lang w:val="en-US"/>
        </w:rPr>
        <w:t>minimis</w:t>
      </w:r>
      <w:proofErr w:type="spellEnd"/>
      <w:r w:rsidR="003C065A" w:rsidRPr="003C4AB6">
        <w:rPr>
          <w:sz w:val="24"/>
          <w:szCs w:val="24"/>
        </w:rPr>
        <w:t>“.</w:t>
      </w:r>
    </w:p>
    <w:p w:rsidR="0088296B" w:rsidRPr="003C4AB6" w:rsidRDefault="005C64E6" w:rsidP="0088296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rFonts w:ascii="Calibri" w:eastAsia="Calibri" w:hAnsi="Calibri" w:cs="Times New Roman"/>
          <w:bCs/>
          <w:sz w:val="24"/>
          <w:szCs w:val="24"/>
        </w:rPr>
        <w:t xml:space="preserve">Максималният размер на помощта по </w:t>
      </w:r>
      <w:r w:rsidR="00993B48" w:rsidRPr="003C4AB6">
        <w:rPr>
          <w:rFonts w:ascii="Calibri" w:eastAsia="Calibri" w:hAnsi="Calibri" w:cs="Times New Roman"/>
          <w:bCs/>
          <w:sz w:val="24"/>
          <w:szCs w:val="24"/>
        </w:rPr>
        <w:t>посочения елемент</w:t>
      </w:r>
      <w:r w:rsidRPr="003C4AB6">
        <w:rPr>
          <w:rFonts w:ascii="Calibri" w:eastAsia="Calibri" w:hAnsi="Calibri" w:cs="Times New Roman"/>
          <w:bCs/>
          <w:sz w:val="24"/>
          <w:szCs w:val="24"/>
        </w:rPr>
        <w:t xml:space="preserve"> за едно и също предприятие</w:t>
      </w:r>
      <w:r w:rsidRPr="003C4AB6">
        <w:rPr>
          <w:rFonts w:ascii="Calibri" w:eastAsia="Calibri" w:hAnsi="Calibri" w:cs="Times New Roman"/>
          <w:bCs/>
          <w:sz w:val="24"/>
          <w:szCs w:val="24"/>
          <w:vertAlign w:val="superscript"/>
        </w:rPr>
        <w:footnoteReference w:id="19"/>
      </w:r>
      <w:r w:rsidRPr="003C4AB6">
        <w:rPr>
          <w:rFonts w:ascii="Calibri" w:eastAsia="Calibri" w:hAnsi="Calibri" w:cs="Times New Roman"/>
          <w:bCs/>
          <w:sz w:val="24"/>
          <w:szCs w:val="24"/>
        </w:rPr>
        <w:t xml:space="preserve"> заедно с другите получени минимални помощи, не може да надхвърля левовата равностойност на 200 000 евро за период от три бюджетни години.</w:t>
      </w:r>
    </w:p>
    <w:p w:rsidR="00933A93" w:rsidRPr="003C4AB6" w:rsidRDefault="009C3F59" w:rsidP="00933A93">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Данните за получени държавни помощи следва да бъдат надлежно посочени от кандид</w:t>
      </w:r>
      <w:r w:rsidR="0088296B" w:rsidRPr="003C4AB6">
        <w:rPr>
          <w:sz w:val="24"/>
          <w:szCs w:val="24"/>
        </w:rPr>
        <w:t xml:space="preserve">атите в Декларация за </w:t>
      </w:r>
      <w:r w:rsidR="00BA2BA3" w:rsidRPr="003C4AB6">
        <w:rPr>
          <w:sz w:val="24"/>
          <w:szCs w:val="24"/>
        </w:rPr>
        <w:t>минимални</w:t>
      </w:r>
      <w:r w:rsidR="0088296B" w:rsidRPr="003C4AB6">
        <w:rPr>
          <w:sz w:val="24"/>
          <w:szCs w:val="24"/>
        </w:rPr>
        <w:t xml:space="preserve"> помощи</w:t>
      </w:r>
      <w:r w:rsidRPr="003C4AB6">
        <w:rPr>
          <w:sz w:val="24"/>
          <w:szCs w:val="24"/>
        </w:rPr>
        <w:t xml:space="preserve">, попълнена по образец (Приложение </w:t>
      </w:r>
      <w:r w:rsidR="009343A2" w:rsidRPr="003C4AB6">
        <w:rPr>
          <w:sz w:val="24"/>
          <w:szCs w:val="24"/>
        </w:rPr>
        <w:t>Г</w:t>
      </w:r>
      <w:r w:rsidRPr="003C4AB6">
        <w:rPr>
          <w:sz w:val="24"/>
          <w:szCs w:val="24"/>
        </w:rPr>
        <w:t xml:space="preserve"> към </w:t>
      </w:r>
      <w:r w:rsidR="007B1E28">
        <w:rPr>
          <w:sz w:val="24"/>
          <w:szCs w:val="24"/>
        </w:rPr>
        <w:t>Условия</w:t>
      </w:r>
      <w:r w:rsidRPr="003C4AB6">
        <w:rPr>
          <w:sz w:val="24"/>
          <w:szCs w:val="24"/>
        </w:rPr>
        <w:t>т</w:t>
      </w:r>
      <w:r w:rsidR="00F53AB3">
        <w:rPr>
          <w:sz w:val="24"/>
          <w:szCs w:val="24"/>
        </w:rPr>
        <w:t>а</w:t>
      </w:r>
      <w:r w:rsidRPr="003C4AB6">
        <w:rPr>
          <w:sz w:val="24"/>
          <w:szCs w:val="24"/>
        </w:rPr>
        <w:t xml:space="preserve"> за кандидатстване). Държавната помощ се счита за получена от момента на сключване на договора за нейното предоставяне</w:t>
      </w:r>
      <w:r w:rsidR="00933A93" w:rsidRPr="003C4AB6">
        <w:rPr>
          <w:sz w:val="24"/>
          <w:szCs w:val="24"/>
        </w:rPr>
        <w:t xml:space="preserve">. Декларацията за </w:t>
      </w:r>
      <w:r w:rsidR="003A1C8A" w:rsidRPr="003C4AB6">
        <w:rPr>
          <w:sz w:val="24"/>
          <w:szCs w:val="24"/>
        </w:rPr>
        <w:t>минимални</w:t>
      </w:r>
      <w:r w:rsidRPr="003C4AB6">
        <w:rPr>
          <w:sz w:val="24"/>
          <w:szCs w:val="24"/>
        </w:rPr>
        <w:t xml:space="preserve"> помощи се представя от кандидатите на етап кандидатстване и впоследствие, в случай на одобрение на проектното предложение </w:t>
      </w:r>
      <w:r w:rsidR="00995E26" w:rsidRPr="00995E26">
        <w:rPr>
          <w:rFonts w:ascii="Calibri" w:eastAsia="Calibri" w:hAnsi="Calibri" w:cs="Times New Roman"/>
          <w:sz w:val="24"/>
          <w:szCs w:val="24"/>
        </w:rPr>
        <w:t xml:space="preserve">и при наличие на настъпили промени в </w:t>
      </w:r>
      <w:r w:rsidR="00995E26" w:rsidRPr="00995E26">
        <w:rPr>
          <w:rFonts w:ascii="Calibri" w:eastAsia="Calibri" w:hAnsi="Calibri" w:cs="Times New Roman"/>
          <w:sz w:val="24"/>
          <w:szCs w:val="24"/>
        </w:rPr>
        <w:lastRenderedPageBreak/>
        <w:t xml:space="preserve">декларираните </w:t>
      </w:r>
      <w:r w:rsidR="00995E26" w:rsidRPr="000A43E9">
        <w:rPr>
          <w:rFonts w:ascii="Calibri" w:eastAsia="Calibri" w:hAnsi="Calibri" w:cs="Times New Roman"/>
          <w:sz w:val="24"/>
          <w:szCs w:val="24"/>
        </w:rPr>
        <w:t>обстоятелства</w:t>
      </w:r>
      <w:r w:rsidR="00995E26" w:rsidRPr="000A43E9">
        <w:rPr>
          <w:sz w:val="24"/>
          <w:szCs w:val="24"/>
        </w:rPr>
        <w:t xml:space="preserve"> </w:t>
      </w:r>
      <w:r w:rsidRPr="000A43E9">
        <w:rPr>
          <w:sz w:val="24"/>
          <w:szCs w:val="24"/>
        </w:rPr>
        <w:t>– преди сключване</w:t>
      </w:r>
      <w:r w:rsidRPr="003C4AB6">
        <w:rPr>
          <w:sz w:val="24"/>
          <w:szCs w:val="24"/>
        </w:rPr>
        <w:t xml:space="preserve"> на </w:t>
      </w:r>
      <w:r w:rsidR="00D97F45">
        <w:rPr>
          <w:sz w:val="24"/>
          <w:szCs w:val="24"/>
        </w:rPr>
        <w:t xml:space="preserve">административния </w:t>
      </w:r>
      <w:r w:rsidRPr="003C4AB6">
        <w:rPr>
          <w:sz w:val="24"/>
          <w:szCs w:val="24"/>
        </w:rPr>
        <w:t>договор за безвъзмездна финансова помощ.</w:t>
      </w:r>
    </w:p>
    <w:p w:rsidR="00933A93" w:rsidRPr="003C4AB6" w:rsidRDefault="009C3F59" w:rsidP="00933A93">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При определяне дали е спазен максимално допустимия</w:t>
      </w:r>
      <w:r w:rsidR="006028C9" w:rsidRPr="003C4AB6">
        <w:rPr>
          <w:sz w:val="24"/>
          <w:szCs w:val="24"/>
        </w:rPr>
        <w:t>т</w:t>
      </w:r>
      <w:r w:rsidRPr="003C4AB6">
        <w:rPr>
          <w:sz w:val="24"/>
          <w:szCs w:val="24"/>
        </w:rPr>
        <w:t xml:space="preserve"> </w:t>
      </w:r>
      <w:r w:rsidR="00D7288F" w:rsidRPr="003C4AB6">
        <w:rPr>
          <w:sz w:val="24"/>
          <w:szCs w:val="24"/>
        </w:rPr>
        <w:t xml:space="preserve">размер и съответно </w:t>
      </w:r>
      <w:r w:rsidRPr="003C4AB6">
        <w:rPr>
          <w:sz w:val="24"/>
          <w:szCs w:val="24"/>
        </w:rPr>
        <w:t>интензитет н</w:t>
      </w:r>
      <w:r w:rsidR="00A412A2" w:rsidRPr="003C4AB6">
        <w:rPr>
          <w:sz w:val="24"/>
          <w:szCs w:val="24"/>
        </w:rPr>
        <w:t xml:space="preserve">а помощта съгласно т. </w:t>
      </w:r>
      <w:r w:rsidR="00C46BF3" w:rsidRPr="003C4AB6">
        <w:rPr>
          <w:sz w:val="24"/>
          <w:szCs w:val="24"/>
        </w:rPr>
        <w:t xml:space="preserve">9 и </w:t>
      </w:r>
      <w:r w:rsidR="00A412A2" w:rsidRPr="003C4AB6">
        <w:rPr>
          <w:sz w:val="24"/>
          <w:szCs w:val="24"/>
        </w:rPr>
        <w:t>10</w:t>
      </w:r>
      <w:r w:rsidRPr="003C4AB6">
        <w:rPr>
          <w:sz w:val="24"/>
          <w:szCs w:val="24"/>
        </w:rPr>
        <w:t xml:space="preserve"> от настоящите </w:t>
      </w:r>
      <w:r w:rsidR="007B1E28">
        <w:rPr>
          <w:sz w:val="24"/>
          <w:szCs w:val="24"/>
        </w:rPr>
        <w:t>Условия</w:t>
      </w:r>
      <w:r w:rsidRPr="003C4AB6">
        <w:rPr>
          <w:sz w:val="24"/>
          <w:szCs w:val="24"/>
        </w:rPr>
        <w:t xml:space="preserve"> за кандидатстване, ще се взема предвид </w:t>
      </w:r>
      <w:r w:rsidR="00532C3A" w:rsidRPr="003C4AB6">
        <w:rPr>
          <w:sz w:val="24"/>
          <w:szCs w:val="24"/>
        </w:rPr>
        <w:t>общ</w:t>
      </w:r>
      <w:r w:rsidR="00933A93" w:rsidRPr="003C4AB6">
        <w:rPr>
          <w:sz w:val="24"/>
          <w:szCs w:val="24"/>
        </w:rPr>
        <w:t xml:space="preserve">ия размер на получената </w:t>
      </w:r>
      <w:r w:rsidR="003A1C8A" w:rsidRPr="003C4AB6">
        <w:rPr>
          <w:sz w:val="24"/>
          <w:szCs w:val="24"/>
        </w:rPr>
        <w:t>минимална</w:t>
      </w:r>
      <w:r w:rsidR="00532C3A" w:rsidRPr="003C4AB6">
        <w:rPr>
          <w:sz w:val="24"/>
          <w:szCs w:val="24"/>
        </w:rPr>
        <w:t xml:space="preserve"> помощ за</w:t>
      </w:r>
      <w:r w:rsidRPr="003C4AB6">
        <w:rPr>
          <w:sz w:val="24"/>
          <w:szCs w:val="24"/>
        </w:rPr>
        <w:t xml:space="preserve"> подпомаганата дейност</w:t>
      </w:r>
      <w:r w:rsidR="00C46BF3" w:rsidRPr="003C4AB6">
        <w:rPr>
          <w:sz w:val="24"/>
          <w:szCs w:val="24"/>
        </w:rPr>
        <w:t>,</w:t>
      </w:r>
      <w:r w:rsidRPr="003C4AB6">
        <w:rPr>
          <w:sz w:val="24"/>
          <w:szCs w:val="24"/>
        </w:rPr>
        <w:t xml:space="preserve"> проект</w:t>
      </w:r>
      <w:r w:rsidR="00C46BF3" w:rsidRPr="003C4AB6">
        <w:rPr>
          <w:sz w:val="24"/>
          <w:szCs w:val="24"/>
        </w:rPr>
        <w:t xml:space="preserve"> или предприятие,</w:t>
      </w:r>
      <w:r w:rsidRPr="003C4AB6">
        <w:rPr>
          <w:sz w:val="24"/>
          <w:szCs w:val="24"/>
        </w:rPr>
        <w:t xml:space="preserve"> независимо от това дали тази подкрепа е финансирана от местни, регионални, национални или </w:t>
      </w:r>
      <w:proofErr w:type="spellStart"/>
      <w:r w:rsidRPr="003C4AB6">
        <w:rPr>
          <w:sz w:val="24"/>
          <w:szCs w:val="24"/>
        </w:rPr>
        <w:t>общностни</w:t>
      </w:r>
      <w:proofErr w:type="spellEnd"/>
      <w:r w:rsidRPr="003C4AB6">
        <w:rPr>
          <w:sz w:val="24"/>
          <w:szCs w:val="24"/>
        </w:rPr>
        <w:t xml:space="preserve"> източници.</w:t>
      </w:r>
    </w:p>
    <w:p w:rsidR="00A26C17" w:rsidRPr="003C4AB6" w:rsidRDefault="009C3F59" w:rsidP="00A26C1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Възстановяването на неправомерно предоставена държавна помощ се извършва по реда на раздел V от Правилника за прилагане на Закона за държавните помощи</w:t>
      </w:r>
      <w:r w:rsidR="00FB213D" w:rsidRPr="003C4AB6">
        <w:rPr>
          <w:sz w:val="24"/>
          <w:szCs w:val="24"/>
        </w:rPr>
        <w:t>,</w:t>
      </w:r>
      <w:r w:rsidRPr="003C4AB6">
        <w:rPr>
          <w:sz w:val="24"/>
          <w:szCs w:val="24"/>
        </w:rPr>
        <w:t xml:space="preserve"> съгласно който решение на Европейската комисия за възстановяване на неправомерно предоставена държавна помощ подлежи на принудително изпълнение по реда на Данъчно-осигурителния процесуален кодекс (ДОПК). Когато с решение на Европейската комисия за възстановяване на неправомерно предоставена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rsidR="00F7626C" w:rsidRPr="003C4AB6" w:rsidRDefault="009C3F59" w:rsidP="00A26C1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Възстановяването на недължимо платените и надплатените суми, както и на неправомерно получените или неправомерно усвоени средства,</w:t>
      </w:r>
      <w:r w:rsidR="00A716C6">
        <w:rPr>
          <w:sz w:val="24"/>
          <w:szCs w:val="24"/>
        </w:rPr>
        <w:t xml:space="preserve"> </w:t>
      </w:r>
      <w:r w:rsidR="00A716C6" w:rsidRPr="00A716C6">
        <w:rPr>
          <w:rFonts w:ascii="Calibri" w:eastAsia="Calibri" w:hAnsi="Calibri" w:cs="Times New Roman"/>
          <w:sz w:val="24"/>
          <w:szCs w:val="24"/>
        </w:rPr>
        <w:t>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rsidR="00205171" w:rsidRPr="003C4AB6" w:rsidRDefault="00205171" w:rsidP="00A26C17">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rFonts w:ascii="Calibri" w:eastAsia="Calibri" w:hAnsi="Calibri" w:cs="Times New Roman"/>
          <w:sz w:val="24"/>
          <w:szCs w:val="24"/>
        </w:rPr>
        <w:t xml:space="preserve">След публикуване на настоящите </w:t>
      </w:r>
      <w:r w:rsidR="007B1E28">
        <w:rPr>
          <w:rFonts w:ascii="Calibri" w:eastAsia="Calibri" w:hAnsi="Calibri" w:cs="Times New Roman"/>
          <w:sz w:val="24"/>
          <w:szCs w:val="24"/>
        </w:rPr>
        <w:t>Условия</w:t>
      </w:r>
      <w:r w:rsidRPr="003C4AB6">
        <w:rPr>
          <w:rFonts w:ascii="Calibri" w:eastAsia="Calibri" w:hAnsi="Calibri" w:cs="Times New Roman"/>
          <w:sz w:val="24"/>
          <w:szCs w:val="24"/>
        </w:rPr>
        <w:t xml:space="preserve">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1407/2013.</w:t>
      </w:r>
    </w:p>
    <w:p w:rsidR="00B70D78" w:rsidRPr="003C4AB6" w:rsidRDefault="00B70D78" w:rsidP="00B70D78">
      <w:pPr>
        <w:rPr>
          <w:sz w:val="10"/>
          <w:szCs w:val="10"/>
        </w:rPr>
      </w:pPr>
    </w:p>
    <w:p w:rsidR="001D79C3" w:rsidRPr="003C4AB6" w:rsidRDefault="001D79C3" w:rsidP="002E627B">
      <w:pPr>
        <w:pStyle w:val="Heading2"/>
        <w:spacing w:before="120" w:after="120"/>
      </w:pPr>
      <w:bookmarkStart w:id="24" w:name="_Toc442298727"/>
      <w:r w:rsidRPr="003C4AB6">
        <w:t>17.</w:t>
      </w:r>
      <w:r w:rsidR="008D1FB2" w:rsidRPr="003C4AB6">
        <w:t xml:space="preserve"> </w:t>
      </w:r>
      <w:r w:rsidRPr="003C4AB6">
        <w:t>Хоризонтални политики:</w:t>
      </w:r>
      <w:bookmarkEnd w:id="24"/>
    </w:p>
    <w:p w:rsidR="003568A8" w:rsidRPr="003C4AB6" w:rsidRDefault="003215F7"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w:t>
      </w:r>
      <w:r w:rsidR="00522BE3" w:rsidRPr="003C4AB6">
        <w:rPr>
          <w:sz w:val="24"/>
          <w:szCs w:val="24"/>
        </w:rPr>
        <w:t xml:space="preserve">о настоящата процедура следва да </w:t>
      </w:r>
      <w:r w:rsidRPr="003C4AB6">
        <w:rPr>
          <w:sz w:val="24"/>
          <w:szCs w:val="24"/>
        </w:rPr>
        <w:t xml:space="preserve">е налице съответствие на проектните предложения с </w:t>
      </w:r>
      <w:r w:rsidR="000B0A30" w:rsidRPr="003C4AB6">
        <w:rPr>
          <w:b/>
          <w:sz w:val="24"/>
          <w:szCs w:val="24"/>
        </w:rPr>
        <w:t>поне един</w:t>
      </w:r>
      <w:r w:rsidR="000B0A30" w:rsidRPr="003C4AB6">
        <w:rPr>
          <w:sz w:val="24"/>
          <w:szCs w:val="24"/>
        </w:rPr>
        <w:t xml:space="preserve"> от следните принцип</w:t>
      </w:r>
      <w:r w:rsidR="006B6465" w:rsidRPr="003C4AB6">
        <w:rPr>
          <w:sz w:val="24"/>
          <w:szCs w:val="24"/>
        </w:rPr>
        <w:t>и</w:t>
      </w:r>
      <w:r w:rsidR="000B0A30" w:rsidRPr="003C4AB6">
        <w:rPr>
          <w:sz w:val="24"/>
          <w:szCs w:val="24"/>
        </w:rPr>
        <w:t xml:space="preserve"> на </w:t>
      </w:r>
      <w:r w:rsidRPr="003C4AB6">
        <w:rPr>
          <w:sz w:val="24"/>
          <w:szCs w:val="24"/>
        </w:rPr>
        <w:t>хоризонталните политики на ЕС</w:t>
      </w:r>
      <w:r w:rsidR="00F3570C" w:rsidRPr="003C4AB6">
        <w:rPr>
          <w:sz w:val="24"/>
          <w:szCs w:val="24"/>
        </w:rPr>
        <w:t>:</w:t>
      </w:r>
    </w:p>
    <w:p w:rsidR="005D1C85" w:rsidRPr="003C4AB6" w:rsidRDefault="005D1C85"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A1195" w:rsidRPr="003C4AB6" w:rsidRDefault="00AD0EB6"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w:t>
      </w:r>
      <w:r w:rsidR="00175F55" w:rsidRPr="003C4AB6">
        <w:rPr>
          <w:sz w:val="24"/>
          <w:szCs w:val="24"/>
        </w:rPr>
        <w:t xml:space="preserve"> </w:t>
      </w:r>
      <w:r w:rsidR="00104B35" w:rsidRPr="003C4AB6">
        <w:rPr>
          <w:sz w:val="24"/>
          <w:szCs w:val="24"/>
        </w:rPr>
        <w:t xml:space="preserve">насърчаване на равенството между мъжете и жените </w:t>
      </w:r>
      <w:r w:rsidRPr="003C4AB6">
        <w:rPr>
          <w:sz w:val="24"/>
          <w:szCs w:val="24"/>
        </w:rPr>
        <w:t xml:space="preserve">и </w:t>
      </w:r>
      <w:r w:rsidR="00104B35" w:rsidRPr="003C4AB6">
        <w:rPr>
          <w:sz w:val="24"/>
          <w:szCs w:val="24"/>
        </w:rPr>
        <w:t>на не</w:t>
      </w:r>
      <w:r w:rsidRPr="003C4AB6">
        <w:rPr>
          <w:sz w:val="24"/>
          <w:szCs w:val="24"/>
        </w:rPr>
        <w:t>дискриминация</w:t>
      </w:r>
      <w:r w:rsidR="008C4D4B" w:rsidRPr="003C4AB6">
        <w:rPr>
          <w:sz w:val="24"/>
          <w:szCs w:val="24"/>
        </w:rPr>
        <w:t>та</w:t>
      </w:r>
      <w:r w:rsidRPr="003C4AB6">
        <w:rPr>
          <w:sz w:val="24"/>
          <w:szCs w:val="24"/>
        </w:rPr>
        <w:t xml:space="preserve"> - насърчаване на равните възможности за всички, включително възможностите за достъп за хора с увреждания чрез интегрирането</w:t>
      </w:r>
      <w:r w:rsidR="00175F55" w:rsidRPr="003C4AB6">
        <w:rPr>
          <w:sz w:val="24"/>
          <w:szCs w:val="24"/>
        </w:rPr>
        <w:t xml:space="preserve"> на принципа на недискриминация. </w:t>
      </w:r>
      <w:r w:rsidR="008A1195" w:rsidRPr="003C4AB6">
        <w:rPr>
          <w:sz w:val="24"/>
          <w:szCs w:val="24"/>
        </w:rPr>
        <w:t xml:space="preserve">Европейският съюз насърчава </w:t>
      </w:r>
      <w:proofErr w:type="spellStart"/>
      <w:r w:rsidR="008A1195" w:rsidRPr="003C4AB6">
        <w:rPr>
          <w:sz w:val="24"/>
          <w:szCs w:val="24"/>
        </w:rPr>
        <w:t>равнопоставеността</w:t>
      </w:r>
      <w:proofErr w:type="spellEnd"/>
      <w:r w:rsidR="008A1195" w:rsidRPr="003C4AB6">
        <w:rPr>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w:t>
      </w:r>
      <w:r w:rsidR="007B1E28">
        <w:rPr>
          <w:sz w:val="24"/>
          <w:szCs w:val="24"/>
        </w:rPr>
        <w:t>Условия</w:t>
      </w:r>
      <w:r w:rsidR="008A1195" w:rsidRPr="003C4AB6">
        <w:rPr>
          <w:sz w:val="24"/>
          <w:szCs w:val="24"/>
        </w:rPr>
        <w:t>т</w:t>
      </w:r>
      <w:r w:rsidR="00F53AB3">
        <w:rPr>
          <w:sz w:val="24"/>
          <w:szCs w:val="24"/>
        </w:rPr>
        <w:t>а</w:t>
      </w:r>
      <w:r w:rsidR="008A1195" w:rsidRPr="003C4AB6">
        <w:rPr>
          <w:sz w:val="24"/>
          <w:szCs w:val="24"/>
        </w:rPr>
        <w:t>, независимо от техния пол, етническа принадлежност или вид увреждане.</w:t>
      </w:r>
    </w:p>
    <w:p w:rsidR="005D1C85" w:rsidRPr="003C4AB6" w:rsidRDefault="005D1C85" w:rsidP="00D7508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64FCC" w:rsidRPr="003C4AB6" w:rsidRDefault="00AD0EB6"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w:t>
      </w:r>
      <w:r w:rsidR="000B0A30" w:rsidRPr="003C4AB6">
        <w:rPr>
          <w:sz w:val="24"/>
          <w:szCs w:val="24"/>
        </w:rPr>
        <w:t xml:space="preserve"> </w:t>
      </w:r>
      <w:r w:rsidRPr="003C4AB6">
        <w:rPr>
          <w:sz w:val="24"/>
          <w:szCs w:val="24"/>
        </w:rPr>
        <w:t xml:space="preserve">устойчиво развитие – подкрепа за </w:t>
      </w:r>
      <w:r w:rsidR="000B0A30" w:rsidRPr="003C4AB6">
        <w:rPr>
          <w:sz w:val="24"/>
          <w:szCs w:val="24"/>
        </w:rPr>
        <w:t>проекти</w:t>
      </w:r>
      <w:r w:rsidRPr="003C4AB6">
        <w:rPr>
          <w:sz w:val="24"/>
          <w:szCs w:val="24"/>
        </w:rPr>
        <w:t xml:space="preserve">, които допринасят за опазване на околната среда, </w:t>
      </w:r>
      <w:r w:rsidR="008A3D61" w:rsidRPr="003C4AB6">
        <w:rPr>
          <w:sz w:val="24"/>
          <w:szCs w:val="24"/>
        </w:rPr>
        <w:t xml:space="preserve">повишаване на </w:t>
      </w:r>
      <w:r w:rsidRPr="003C4AB6">
        <w:rPr>
          <w:sz w:val="24"/>
          <w:szCs w:val="24"/>
        </w:rPr>
        <w:t>ресурсна</w:t>
      </w:r>
      <w:r w:rsidR="008A3D61" w:rsidRPr="003C4AB6">
        <w:rPr>
          <w:sz w:val="24"/>
          <w:szCs w:val="24"/>
        </w:rPr>
        <w:t>та</w:t>
      </w:r>
      <w:r w:rsidRPr="003C4AB6">
        <w:rPr>
          <w:sz w:val="24"/>
          <w:szCs w:val="24"/>
        </w:rPr>
        <w:t xml:space="preserve"> ефективност и смекчаване на последиците от изменение на кли</w:t>
      </w:r>
      <w:r w:rsidR="008A3D61" w:rsidRPr="003C4AB6">
        <w:rPr>
          <w:sz w:val="24"/>
          <w:szCs w:val="24"/>
        </w:rPr>
        <w:t>мата и приспособяване към тях.</w:t>
      </w:r>
      <w:r w:rsidR="00AC4EEA" w:rsidRPr="003C4AB6">
        <w:rPr>
          <w:sz w:val="24"/>
          <w:szCs w:val="24"/>
        </w:rPr>
        <w:t xml:space="preserve"> </w:t>
      </w:r>
    </w:p>
    <w:p w:rsidR="00464FCC" w:rsidRPr="003C4AB6" w:rsidRDefault="00464FCC"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64FCC" w:rsidRPr="003C4AB6" w:rsidRDefault="008A3D61"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В</w:t>
      </w:r>
      <w:r w:rsidR="00421B5B" w:rsidRPr="003C4AB6">
        <w:rPr>
          <w:sz w:val="24"/>
          <w:szCs w:val="24"/>
        </w:rPr>
        <w:t xml:space="preserve"> </w:t>
      </w:r>
      <w:r w:rsidRPr="003C4AB6">
        <w:rPr>
          <w:sz w:val="24"/>
          <w:szCs w:val="24"/>
        </w:rPr>
        <w:t>т</w:t>
      </w:r>
      <w:r w:rsidR="00421B5B" w:rsidRPr="003C4AB6">
        <w:rPr>
          <w:sz w:val="24"/>
          <w:szCs w:val="24"/>
        </w:rPr>
        <w:t xml:space="preserve">. 11 </w:t>
      </w:r>
      <w:r w:rsidRPr="003C4AB6">
        <w:rPr>
          <w:sz w:val="24"/>
          <w:szCs w:val="24"/>
        </w:rPr>
        <w:t xml:space="preserve">от Формуляра за кандидатстване кандидатите следва да представят информация за съответствието на проектното предложение с </w:t>
      </w:r>
      <w:r w:rsidR="00A743AD" w:rsidRPr="003C4AB6">
        <w:rPr>
          <w:sz w:val="24"/>
          <w:szCs w:val="24"/>
        </w:rPr>
        <w:t>поне един от посочените принципи.</w:t>
      </w:r>
    </w:p>
    <w:p w:rsidR="00E4277F" w:rsidRPr="003C4AB6" w:rsidRDefault="004D20B4" w:rsidP="00464FC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Прилагането на заложените в проекта принципи ще се проследява на етап изпълнение на проектното предложение.</w:t>
      </w:r>
    </w:p>
    <w:p w:rsidR="00F7626C" w:rsidRPr="003C4AB6" w:rsidRDefault="00F7626C" w:rsidP="002325A3">
      <w:pPr>
        <w:pStyle w:val="ListParagraph"/>
        <w:spacing w:after="360" w:line="240" w:lineRule="auto"/>
        <w:ind w:left="0"/>
        <w:jc w:val="both"/>
        <w:rPr>
          <w:b/>
          <w:sz w:val="10"/>
          <w:szCs w:val="10"/>
        </w:rPr>
      </w:pPr>
    </w:p>
    <w:p w:rsidR="00BA2E00" w:rsidRPr="003C4AB6" w:rsidRDefault="00BA2E00" w:rsidP="002E627B">
      <w:pPr>
        <w:pStyle w:val="Heading2"/>
        <w:spacing w:before="120" w:after="120"/>
      </w:pPr>
      <w:bookmarkStart w:id="25" w:name="_Toc442298728"/>
      <w:r w:rsidRPr="003C4AB6">
        <w:t>1</w:t>
      </w:r>
      <w:r w:rsidR="001D79C3" w:rsidRPr="003C4AB6">
        <w:t>8</w:t>
      </w:r>
      <w:r w:rsidRPr="003C4AB6">
        <w:t>. Минимален и максимален срок за изпълнение на проекта:</w:t>
      </w:r>
      <w:bookmarkEnd w:id="25"/>
    </w:p>
    <w:p w:rsidR="00B1282F" w:rsidRPr="003C4AB6" w:rsidRDefault="00B1282F" w:rsidP="008D1F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3C4AB6">
        <w:rPr>
          <w:sz w:val="24"/>
          <w:szCs w:val="24"/>
        </w:rPr>
        <w:t xml:space="preserve">Продължителността на изпълнение на всеки проект не следва да надвишава </w:t>
      </w:r>
      <w:r w:rsidR="000B4262" w:rsidRPr="003C4AB6">
        <w:rPr>
          <w:b/>
          <w:sz w:val="24"/>
          <w:szCs w:val="24"/>
        </w:rPr>
        <w:t>24</w:t>
      </w:r>
      <w:r w:rsidRPr="003C4AB6">
        <w:rPr>
          <w:b/>
          <w:sz w:val="24"/>
          <w:szCs w:val="24"/>
        </w:rPr>
        <w:t xml:space="preserve"> /</w:t>
      </w:r>
      <w:r w:rsidR="000B4262" w:rsidRPr="003C4AB6">
        <w:rPr>
          <w:b/>
          <w:sz w:val="24"/>
          <w:szCs w:val="24"/>
        </w:rPr>
        <w:t>двадесет и четири</w:t>
      </w:r>
      <w:r w:rsidRPr="003C4AB6">
        <w:rPr>
          <w:b/>
          <w:sz w:val="24"/>
          <w:szCs w:val="24"/>
        </w:rPr>
        <w:t>/ месеца</w:t>
      </w:r>
      <w:r w:rsidRPr="003C4AB6">
        <w:rPr>
          <w:sz w:val="24"/>
          <w:szCs w:val="24"/>
        </w:rPr>
        <w:t xml:space="preserve">, считано от датата на влизане в сила на </w:t>
      </w:r>
      <w:r w:rsidR="00A716C6">
        <w:rPr>
          <w:sz w:val="24"/>
          <w:szCs w:val="24"/>
        </w:rPr>
        <w:t xml:space="preserve">административния </w:t>
      </w:r>
      <w:r w:rsidRPr="003C4AB6">
        <w:rPr>
          <w:sz w:val="24"/>
          <w:szCs w:val="24"/>
        </w:rPr>
        <w:t>договор за предоставяне на безвъзмездна финансова помощ.</w:t>
      </w:r>
    </w:p>
    <w:p w:rsidR="002325A3" w:rsidRPr="003C4AB6" w:rsidRDefault="002325A3" w:rsidP="006A2DB8">
      <w:pPr>
        <w:pStyle w:val="ListParagraph"/>
        <w:spacing w:after="360" w:line="240" w:lineRule="auto"/>
        <w:ind w:left="0"/>
        <w:jc w:val="both"/>
        <w:rPr>
          <w:b/>
          <w:sz w:val="10"/>
          <w:szCs w:val="10"/>
        </w:rPr>
      </w:pPr>
      <w:r w:rsidRPr="003C4AB6">
        <w:rPr>
          <w:b/>
          <w:sz w:val="10"/>
          <w:szCs w:val="10"/>
        </w:rPr>
        <w:t xml:space="preserve">        </w:t>
      </w:r>
    </w:p>
    <w:p w:rsidR="00A6355F" w:rsidRDefault="00A6355F" w:rsidP="002E627B">
      <w:pPr>
        <w:pStyle w:val="Heading2"/>
        <w:spacing w:before="120" w:after="120"/>
      </w:pPr>
      <w:bookmarkStart w:id="26" w:name="_Toc442298729"/>
      <w:r>
        <w:t>19. Ред за оценяване на концепциите за проектни предложения</w:t>
      </w:r>
      <w:r w:rsidR="00314D02">
        <w:t>:</w:t>
      </w:r>
      <w:bookmarkEnd w:id="26"/>
    </w:p>
    <w:p w:rsidR="00410C7D" w:rsidRPr="00314D02" w:rsidRDefault="00314D02" w:rsidP="00410C7D">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314D02">
        <w:rPr>
          <w:sz w:val="24"/>
          <w:szCs w:val="24"/>
        </w:rPr>
        <w:t>Неприложимо</w:t>
      </w:r>
    </w:p>
    <w:p w:rsidR="00410C7D" w:rsidRPr="00410C7D" w:rsidRDefault="00410C7D" w:rsidP="00410C7D">
      <w:pPr>
        <w:pStyle w:val="Heading2"/>
        <w:spacing w:before="120" w:after="120"/>
      </w:pPr>
      <w:bookmarkStart w:id="27" w:name="_Toc442298730"/>
      <w:r w:rsidRPr="00410C7D">
        <w:t>20. Критерии и методика за оценка на концепциите за проектни предложения:</w:t>
      </w:r>
      <w:bookmarkEnd w:id="27"/>
    </w:p>
    <w:p w:rsidR="00410C7D" w:rsidRPr="00410C7D" w:rsidRDefault="00314D02" w:rsidP="00410C7D">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314D02">
        <w:rPr>
          <w:sz w:val="24"/>
          <w:szCs w:val="24"/>
        </w:rPr>
        <w:t>Неприложимо</w:t>
      </w:r>
    </w:p>
    <w:p w:rsidR="00410C7D" w:rsidRPr="00410C7D" w:rsidRDefault="00410C7D" w:rsidP="00410C7D">
      <w:pPr>
        <w:spacing w:after="360" w:line="240" w:lineRule="auto"/>
        <w:contextualSpacing/>
        <w:jc w:val="both"/>
        <w:rPr>
          <w:rFonts w:ascii="Calibri" w:eastAsia="Calibri" w:hAnsi="Calibri" w:cs="Times New Roman"/>
          <w:b/>
          <w:sz w:val="20"/>
          <w:szCs w:val="20"/>
        </w:rPr>
      </w:pPr>
    </w:p>
    <w:p w:rsidR="00A6355F" w:rsidRPr="00417FCF" w:rsidRDefault="00A6355F" w:rsidP="00A6355F">
      <w:pPr>
        <w:rPr>
          <w:sz w:val="10"/>
          <w:szCs w:val="10"/>
        </w:rPr>
      </w:pPr>
    </w:p>
    <w:p w:rsidR="002325A3" w:rsidRPr="003C4AB6" w:rsidRDefault="009D4616" w:rsidP="002E627B">
      <w:pPr>
        <w:pStyle w:val="Heading2"/>
        <w:spacing w:before="120" w:after="120"/>
      </w:pPr>
      <w:bookmarkStart w:id="28" w:name="_Toc442298731"/>
      <w:r>
        <w:t>21</w:t>
      </w:r>
      <w:r w:rsidR="002325A3" w:rsidRPr="003C4AB6">
        <w:t xml:space="preserve">. </w:t>
      </w:r>
      <w:r w:rsidRPr="009D4616">
        <w:t>Ред за оцен</w:t>
      </w:r>
      <w:r>
        <w:t>яване на проектните предложения</w:t>
      </w:r>
      <w:r w:rsidR="002325A3" w:rsidRPr="003C4AB6">
        <w:t>:</w:t>
      </w:r>
      <w:bookmarkEnd w:id="28"/>
    </w:p>
    <w:p w:rsidR="006B6465" w:rsidRPr="003C4AB6" w:rsidRDefault="008C71B9" w:rsidP="002E627B">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3C4AB6">
        <w:rPr>
          <w:sz w:val="24"/>
          <w:szCs w:val="24"/>
        </w:rPr>
        <w:t>Подборът</w:t>
      </w:r>
      <w:r w:rsidR="006B6465" w:rsidRPr="003C4AB6">
        <w:rPr>
          <w:sz w:val="24"/>
          <w:szCs w:val="24"/>
        </w:rPr>
        <w:t xml:space="preserve"> на проектни предложения по настоящ</w:t>
      </w:r>
      <w:r w:rsidR="00797B87" w:rsidRPr="003C4AB6">
        <w:rPr>
          <w:sz w:val="24"/>
          <w:szCs w:val="24"/>
        </w:rPr>
        <w:t>а</w:t>
      </w:r>
      <w:r w:rsidR="006B6465" w:rsidRPr="003C4AB6">
        <w:rPr>
          <w:sz w:val="24"/>
          <w:szCs w:val="24"/>
        </w:rPr>
        <w:t>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ОПИК и приложимите стратегически документи.</w:t>
      </w:r>
    </w:p>
    <w:p w:rsidR="006B6465" w:rsidRPr="003C4AB6" w:rsidRDefault="006B6465" w:rsidP="006B646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B6465" w:rsidRPr="003C4AB6" w:rsidRDefault="006B6465" w:rsidP="006B646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В тази връзка, критериите за допустимост и за техническа и финансова оценка по настоящата процедура са насочени към разрешаване на предизвикателствата, свързани с:</w:t>
      </w:r>
    </w:p>
    <w:p w:rsidR="000C5935" w:rsidRPr="003C4AB6" w:rsidRDefault="00314E4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0C5935" w:rsidRPr="003C4AB6">
        <w:rPr>
          <w:sz w:val="24"/>
          <w:szCs w:val="24"/>
        </w:rPr>
        <w:t>ниската степен на иновативност на дейността на българските предприятия</w:t>
      </w:r>
      <w:r w:rsidRPr="003C4AB6">
        <w:rPr>
          <w:sz w:val="24"/>
          <w:szCs w:val="24"/>
        </w:rPr>
        <w:t>;</w:t>
      </w:r>
    </w:p>
    <w:p w:rsidR="000C5935" w:rsidRPr="003C4AB6" w:rsidRDefault="00314E4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 </w:t>
      </w:r>
      <w:r w:rsidR="000C5935" w:rsidRPr="003C4AB6">
        <w:rPr>
          <w:sz w:val="24"/>
          <w:szCs w:val="24"/>
        </w:rPr>
        <w:t>малки по обем и неефективни инвестиции в иновации</w:t>
      </w:r>
      <w:r w:rsidRPr="003C4AB6">
        <w:rPr>
          <w:sz w:val="24"/>
          <w:szCs w:val="24"/>
        </w:rPr>
        <w:t>.</w:t>
      </w:r>
    </w:p>
    <w:p w:rsidR="000C5935" w:rsidRPr="003C4AB6" w:rsidRDefault="000C59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D21BAC" w:rsidRPr="003C4AB6"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Оценката и класирането на проектните предложения по настоящата процедура се извършва от Оценителна комисия, определена с акт на Ръководителя на </w:t>
      </w:r>
      <w:r w:rsidR="0094104D" w:rsidRPr="003C4AB6">
        <w:rPr>
          <w:sz w:val="24"/>
          <w:szCs w:val="24"/>
        </w:rPr>
        <w:t xml:space="preserve">Управляващия </w:t>
      </w:r>
      <w:r w:rsidRPr="003C4AB6">
        <w:rPr>
          <w:sz w:val="24"/>
          <w:szCs w:val="24"/>
        </w:rPr>
        <w:t>орган.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w:t>
      </w:r>
      <w:r w:rsidR="00584614">
        <w:rPr>
          <w:sz w:val="24"/>
          <w:szCs w:val="24"/>
        </w:rPr>
        <w:t>2</w:t>
      </w:r>
      <w:r w:rsidRPr="003C4AB6">
        <w:rPr>
          <w:sz w:val="24"/>
          <w:szCs w:val="24"/>
        </w:rPr>
        <w:t xml:space="preserve"> и </w:t>
      </w:r>
      <w:r w:rsidR="00935BEE" w:rsidRPr="003C4AB6">
        <w:rPr>
          <w:sz w:val="24"/>
          <w:szCs w:val="24"/>
        </w:rPr>
        <w:t xml:space="preserve">Приложение </w:t>
      </w:r>
      <w:r w:rsidR="00C61FED" w:rsidRPr="003C4AB6">
        <w:rPr>
          <w:sz w:val="24"/>
          <w:szCs w:val="24"/>
        </w:rPr>
        <w:t>Й</w:t>
      </w:r>
      <w:r w:rsidRPr="003C4AB6">
        <w:rPr>
          <w:sz w:val="24"/>
          <w:szCs w:val="24"/>
        </w:rPr>
        <w:t xml:space="preserve"> към </w:t>
      </w:r>
      <w:r w:rsidR="007B1E28">
        <w:rPr>
          <w:sz w:val="24"/>
          <w:szCs w:val="24"/>
        </w:rPr>
        <w:t>Условия</w:t>
      </w:r>
      <w:r w:rsidRPr="003C4AB6">
        <w:rPr>
          <w:sz w:val="24"/>
          <w:szCs w:val="24"/>
        </w:rPr>
        <w:t>т</w:t>
      </w:r>
      <w:r w:rsidR="005349F3">
        <w:rPr>
          <w:sz w:val="24"/>
          <w:szCs w:val="24"/>
        </w:rPr>
        <w:t>а</w:t>
      </w:r>
      <w:r w:rsidRPr="003C4AB6">
        <w:rPr>
          <w:sz w:val="24"/>
          <w:szCs w:val="24"/>
        </w:rPr>
        <w:t xml:space="preserve"> за кандидатстване. Не се допуска въвеждането на допълнителни критерии за оценка или изменение на критериите по </w:t>
      </w:r>
      <w:r w:rsidRPr="003C4AB6">
        <w:rPr>
          <w:sz w:val="24"/>
          <w:szCs w:val="24"/>
        </w:rPr>
        <w:lastRenderedPageBreak/>
        <w:t>време на провеждането на процедурата по оценка на постъпилите проектни предложения</w:t>
      </w:r>
      <w:r w:rsidR="00AB77E6" w:rsidRPr="003C4AB6">
        <w:rPr>
          <w:sz w:val="24"/>
          <w:szCs w:val="24"/>
        </w:rPr>
        <w:t xml:space="preserve"> с изключение на </w:t>
      </w:r>
      <w:r w:rsidR="00AB77E6" w:rsidRPr="00A34270">
        <w:rPr>
          <w:sz w:val="24"/>
          <w:szCs w:val="24"/>
        </w:rPr>
        <w:t xml:space="preserve">случаите </w:t>
      </w:r>
      <w:r w:rsidR="0064648F" w:rsidRPr="00A34270">
        <w:rPr>
          <w:rFonts w:ascii="Calibri" w:eastAsia="Calibri" w:hAnsi="Calibri" w:cs="Times New Roman"/>
          <w:sz w:val="24"/>
          <w:szCs w:val="24"/>
        </w:rPr>
        <w:t>по чл. 26, ал. 7 от ЗУСЕСИФ</w:t>
      </w:r>
      <w:r w:rsidRPr="003C4AB6">
        <w:rPr>
          <w:sz w:val="24"/>
          <w:szCs w:val="24"/>
        </w:rPr>
        <w:t xml:space="preserve">. </w:t>
      </w:r>
    </w:p>
    <w:p w:rsidR="00B237BE" w:rsidRPr="003C4AB6" w:rsidRDefault="00B237BE"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0C5CF4" w:rsidRPr="003C4AB6"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Оценката на проектните предложения включва:</w:t>
      </w:r>
    </w:p>
    <w:p w:rsidR="000C5CF4" w:rsidRPr="003C4AB6" w:rsidRDefault="000C5CF4" w:rsidP="000C5CF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Етап 1:</w:t>
      </w:r>
      <w:r w:rsidRPr="003C4AB6">
        <w:rPr>
          <w:sz w:val="24"/>
          <w:szCs w:val="24"/>
        </w:rPr>
        <w:t xml:space="preserve"> Оценка на административното съответствие и допустимостта;</w:t>
      </w:r>
    </w:p>
    <w:p w:rsidR="00827F99" w:rsidRPr="003C4AB6" w:rsidRDefault="000C5CF4"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Етап 2:</w:t>
      </w:r>
      <w:r w:rsidR="008D1FB2" w:rsidRPr="003C4AB6">
        <w:rPr>
          <w:sz w:val="24"/>
          <w:szCs w:val="24"/>
        </w:rPr>
        <w:t xml:space="preserve"> Техническа и финансова оценка.</w:t>
      </w:r>
    </w:p>
    <w:p w:rsidR="00540660" w:rsidRPr="003C4AB6" w:rsidRDefault="009D4616" w:rsidP="002E627B">
      <w:pPr>
        <w:pStyle w:val="Heading3"/>
        <w:spacing w:before="120" w:after="120"/>
        <w:rPr>
          <w:sz w:val="24"/>
          <w:szCs w:val="24"/>
        </w:rPr>
      </w:pPr>
      <w:bookmarkStart w:id="29" w:name="_Toc442298732"/>
      <w:r>
        <w:rPr>
          <w:sz w:val="24"/>
          <w:szCs w:val="24"/>
        </w:rPr>
        <w:t>21</w:t>
      </w:r>
      <w:r w:rsidR="00540660" w:rsidRPr="003C4AB6">
        <w:rPr>
          <w:sz w:val="24"/>
          <w:szCs w:val="24"/>
        </w:rPr>
        <w:t>.1. Оценка на  административното съответствие и допустимостта</w:t>
      </w:r>
      <w:bookmarkEnd w:id="29"/>
    </w:p>
    <w:p w:rsidR="00540660" w:rsidRPr="003C4AB6" w:rsidRDefault="00540660" w:rsidP="002E627B">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3C4AB6">
        <w:rPr>
          <w:sz w:val="24"/>
          <w:szCs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rsidR="00540660" w:rsidRPr="003C4AB6"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C4AB6">
        <w:rPr>
          <w:sz w:val="24"/>
          <w:szCs w:val="24"/>
        </w:rPr>
        <w:t>- п</w:t>
      </w:r>
      <w:r w:rsidR="00540660" w:rsidRPr="003C4AB6">
        <w:rPr>
          <w:sz w:val="24"/>
          <w:szCs w:val="24"/>
        </w:rPr>
        <w:t xml:space="preserve">роектното предложение се отнася за обявената процедура за подбор на проекти;  </w:t>
      </w:r>
    </w:p>
    <w:p w:rsidR="00540660" w:rsidRPr="003C4AB6"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C4AB6">
        <w:rPr>
          <w:sz w:val="24"/>
          <w:szCs w:val="24"/>
        </w:rPr>
        <w:t>- н</w:t>
      </w:r>
      <w:r w:rsidR="00540660" w:rsidRPr="003C4AB6">
        <w:rPr>
          <w:sz w:val="24"/>
          <w:szCs w:val="24"/>
        </w:rPr>
        <w:t xml:space="preserve">алице са всички </w:t>
      </w:r>
      <w:r w:rsidRPr="003C4AB6">
        <w:rPr>
          <w:sz w:val="24"/>
          <w:szCs w:val="24"/>
        </w:rPr>
        <w:t xml:space="preserve">документи, </w:t>
      </w:r>
      <w:r w:rsidR="00540660" w:rsidRPr="003C4AB6">
        <w:rPr>
          <w:sz w:val="24"/>
          <w:szCs w:val="24"/>
        </w:rPr>
        <w:t>представени и попълнени съгласно изисквания</w:t>
      </w:r>
      <w:r w:rsidRPr="003C4AB6">
        <w:rPr>
          <w:sz w:val="24"/>
          <w:szCs w:val="24"/>
        </w:rPr>
        <w:t>та, посочени в т. 2</w:t>
      </w:r>
      <w:r w:rsidR="003B4F94">
        <w:rPr>
          <w:sz w:val="24"/>
          <w:szCs w:val="24"/>
        </w:rPr>
        <w:t>4</w:t>
      </w:r>
      <w:r w:rsidRPr="003C4AB6">
        <w:rPr>
          <w:sz w:val="24"/>
          <w:szCs w:val="24"/>
        </w:rPr>
        <w:t xml:space="preserve"> </w:t>
      </w:r>
      <w:r w:rsidR="00540660" w:rsidRPr="003C4AB6">
        <w:rPr>
          <w:sz w:val="24"/>
          <w:szCs w:val="24"/>
        </w:rPr>
        <w:t xml:space="preserve">от настоящите </w:t>
      </w:r>
      <w:r w:rsidR="007B1E28">
        <w:rPr>
          <w:sz w:val="24"/>
          <w:szCs w:val="24"/>
        </w:rPr>
        <w:t>Условия</w:t>
      </w:r>
      <w:r w:rsidR="00540660" w:rsidRPr="003C4AB6">
        <w:rPr>
          <w:sz w:val="24"/>
          <w:szCs w:val="24"/>
        </w:rPr>
        <w:t xml:space="preserve"> за кандидатстване;</w:t>
      </w:r>
    </w:p>
    <w:p w:rsidR="00540660" w:rsidRPr="003C4AB6" w:rsidRDefault="00255144" w:rsidP="005100F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C4AB6">
        <w:rPr>
          <w:sz w:val="24"/>
          <w:szCs w:val="24"/>
        </w:rPr>
        <w:t>-</w:t>
      </w:r>
      <w:r w:rsidR="00ED78E5">
        <w:rPr>
          <w:sz w:val="24"/>
          <w:szCs w:val="24"/>
        </w:rPr>
        <w:t xml:space="preserve"> </w:t>
      </w:r>
      <w:r w:rsidR="00540660" w:rsidRPr="003C4AB6">
        <w:rPr>
          <w:sz w:val="24"/>
          <w:szCs w:val="24"/>
        </w:rPr>
        <w:t>въз основа на Формуляра за кандидатстване и представените документи е налице съответствие на кандидатите и проектните дейности с критериите</w:t>
      </w:r>
      <w:r w:rsidR="00F761E8" w:rsidRPr="003C4AB6">
        <w:rPr>
          <w:sz w:val="24"/>
          <w:szCs w:val="24"/>
        </w:rPr>
        <w:t xml:space="preserve"> за допустимост, посочени в </w:t>
      </w:r>
      <w:r w:rsidR="007B1E28">
        <w:rPr>
          <w:sz w:val="24"/>
          <w:szCs w:val="24"/>
        </w:rPr>
        <w:t>Условия</w:t>
      </w:r>
      <w:r w:rsidR="00540660" w:rsidRPr="003C4AB6">
        <w:rPr>
          <w:sz w:val="24"/>
          <w:szCs w:val="24"/>
        </w:rPr>
        <w:t>т</w:t>
      </w:r>
      <w:r w:rsidR="005349F3">
        <w:rPr>
          <w:sz w:val="24"/>
          <w:szCs w:val="24"/>
        </w:rPr>
        <w:t>а</w:t>
      </w:r>
      <w:r w:rsidR="00540660" w:rsidRPr="003C4AB6">
        <w:rPr>
          <w:sz w:val="24"/>
          <w:szCs w:val="24"/>
        </w:rPr>
        <w:t xml:space="preserve"> за кандидатстване. </w:t>
      </w:r>
    </w:p>
    <w:p w:rsidR="00540660" w:rsidRPr="003C4AB6" w:rsidRDefault="00540660"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540660" w:rsidRPr="003C4AB6" w:rsidRDefault="00540660"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F761E8" w:rsidRPr="003C4AB6" w:rsidRDefault="00F761E8" w:rsidP="0054066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482FBC" w:rsidRDefault="00482FB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482FBC">
        <w:rPr>
          <w:rFonts w:ascii="Calibri" w:eastAsia="Calibri" w:hAnsi="Calibri" w:cs="Times New Roman"/>
          <w:sz w:val="24"/>
          <w:szCs w:val="24"/>
        </w:rPr>
        <w:t>След приключване на оценката на административното съответствие и допустимостта, на интернет страницата на Управляващия орган (</w:t>
      </w:r>
      <w:proofErr w:type="spellStart"/>
      <w:r w:rsidRPr="00482FBC">
        <w:rPr>
          <w:rFonts w:ascii="Calibri" w:eastAsia="Calibri" w:hAnsi="Calibri" w:cs="Times New Roman"/>
          <w:sz w:val="24"/>
          <w:szCs w:val="24"/>
        </w:rPr>
        <w:t>www</w:t>
      </w:r>
      <w:proofErr w:type="spellEnd"/>
      <w:r w:rsidRPr="00482FBC">
        <w:rPr>
          <w:rFonts w:ascii="Calibri" w:eastAsia="Calibri" w:hAnsi="Calibri" w:cs="Times New Roman"/>
          <w:sz w:val="24"/>
          <w:szCs w:val="24"/>
        </w:rPr>
        <w:t>.</w:t>
      </w:r>
      <w:proofErr w:type="spellStart"/>
      <w:r w:rsidRPr="00482FBC">
        <w:rPr>
          <w:rFonts w:ascii="Calibri" w:eastAsia="Calibri" w:hAnsi="Calibri" w:cs="Times New Roman"/>
          <w:sz w:val="24"/>
          <w:szCs w:val="24"/>
        </w:rPr>
        <w:t>opcompetitiveness</w:t>
      </w:r>
      <w:proofErr w:type="spellEnd"/>
      <w:r w:rsidRPr="00482FBC">
        <w:rPr>
          <w:rFonts w:ascii="Calibri" w:eastAsia="Calibri" w:hAnsi="Calibri" w:cs="Times New Roman"/>
          <w:sz w:val="24"/>
          <w:szCs w:val="24"/>
        </w:rPr>
        <w:t>.</w:t>
      </w:r>
      <w:proofErr w:type="spellStart"/>
      <w:r w:rsidRPr="00482FBC">
        <w:rPr>
          <w:rFonts w:ascii="Calibri" w:eastAsia="Calibri" w:hAnsi="Calibri" w:cs="Times New Roman"/>
          <w:sz w:val="24"/>
          <w:szCs w:val="24"/>
        </w:rPr>
        <w:t>bg</w:t>
      </w:r>
      <w:proofErr w:type="spellEnd"/>
      <w:r w:rsidRPr="00482FBC">
        <w:rPr>
          <w:rFonts w:ascii="Calibri" w:eastAsia="Calibri" w:hAnsi="Calibri" w:cs="Times New Roman"/>
          <w:sz w:val="24"/>
          <w:szCs w:val="24"/>
        </w:rPr>
        <w:t xml:space="preserve">) и в ИСУН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w:t>
      </w:r>
      <w:r w:rsidR="001E55E1">
        <w:rPr>
          <w:rFonts w:ascii="Calibri" w:eastAsia="Calibri" w:hAnsi="Calibri" w:cs="Times New Roman"/>
          <w:sz w:val="24"/>
          <w:szCs w:val="24"/>
        </w:rPr>
        <w:t>само и единствено чрез ИСУН</w:t>
      </w:r>
      <w:r w:rsidRPr="00482FBC">
        <w:rPr>
          <w:rFonts w:ascii="Calibri" w:eastAsia="Calibri" w:hAnsi="Calibri" w:cs="Times New Roman"/>
          <w:sz w:val="24"/>
          <w:szCs w:val="24"/>
        </w:rPr>
        <w:t>.</w:t>
      </w:r>
      <w:r w:rsidR="006E5446">
        <w:rPr>
          <w:rFonts w:ascii="Calibri" w:eastAsia="Calibri" w:hAnsi="Calibri" w:cs="Times New Roman"/>
          <w:sz w:val="24"/>
          <w:szCs w:val="24"/>
        </w:rPr>
        <w:t xml:space="preserve"> </w:t>
      </w:r>
      <w:r w:rsidR="006E5446" w:rsidRPr="00B54168">
        <w:rPr>
          <w:rFonts w:ascii="Calibri" w:eastAsia="Calibri" w:hAnsi="Calibri" w:cs="Times New Roman"/>
          <w:sz w:val="24"/>
          <w:szCs w:val="24"/>
        </w:rPr>
        <w:t>Управляв</w:t>
      </w:r>
      <w:r w:rsidR="006E5446">
        <w:rPr>
          <w:rFonts w:ascii="Calibri" w:eastAsia="Calibri" w:hAnsi="Calibri" w:cs="Times New Roman"/>
          <w:sz w:val="24"/>
          <w:szCs w:val="24"/>
        </w:rPr>
        <w:t xml:space="preserve">ащият орган не носи отговорност </w:t>
      </w:r>
      <w:r w:rsidR="006E5446" w:rsidRPr="00B54168">
        <w:rPr>
          <w:rFonts w:ascii="Calibri" w:eastAsia="Calibri" w:hAnsi="Calibri" w:cs="Times New Roman"/>
          <w:sz w:val="24"/>
          <w:szCs w:val="24"/>
        </w:rPr>
        <w:t>ако поради грешни и/или непълни данни за кореспонденция, предоставени от самите кандидати, те не получават кореспо</w:t>
      </w:r>
      <w:r w:rsidR="006E5446">
        <w:rPr>
          <w:rFonts w:ascii="Calibri" w:eastAsia="Calibri" w:hAnsi="Calibri" w:cs="Times New Roman"/>
          <w:sz w:val="24"/>
          <w:szCs w:val="24"/>
        </w:rPr>
        <w:t>нденцията с Управляващия орган</w:t>
      </w:r>
      <w:r w:rsidR="006E5446" w:rsidRPr="00B54168">
        <w:rPr>
          <w:rFonts w:ascii="Calibri" w:eastAsia="Calibri" w:hAnsi="Calibri" w:cs="Times New Roman"/>
          <w:sz w:val="24"/>
          <w:szCs w:val="24"/>
        </w:rPr>
        <w:t>.</w:t>
      </w:r>
      <w:r w:rsidR="006E5446">
        <w:rPr>
          <w:rFonts w:ascii="Calibri" w:eastAsia="Calibri" w:hAnsi="Calibri" w:cs="Times New Roman"/>
          <w:sz w:val="24"/>
          <w:szCs w:val="24"/>
        </w:rPr>
        <w:t xml:space="preserve"> </w:t>
      </w:r>
      <w:r w:rsidRPr="00482FBC">
        <w:rPr>
          <w:rFonts w:ascii="Calibri" w:eastAsia="Calibri" w:hAnsi="Calibri" w:cs="Times New Roman"/>
          <w:sz w:val="24"/>
          <w:szCs w:val="24"/>
        </w:rPr>
        <w:t>Кандидатите, чиито проектни предложения са включени в списъка, могат да подадат писмени възражения пред  ръководителя на Управляващия орган в едноседмичен срок от съобщаването. Ръководителят на Управляващия орган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6613EC" w:rsidRDefault="006613E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p>
    <w:p w:rsidR="006613EC" w:rsidRDefault="006613E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613EC">
        <w:rPr>
          <w:rFonts w:ascii="Calibri" w:eastAsia="Calibri" w:hAnsi="Calibri" w:cs="Times New Roman"/>
          <w:b/>
          <w:sz w:val="24"/>
          <w:szCs w:val="24"/>
        </w:rPr>
        <w:t>ВАЖНО:</w:t>
      </w:r>
      <w:r w:rsidRPr="006613EC">
        <w:rPr>
          <w:rFonts w:ascii="Calibri" w:eastAsia="Calibri" w:hAnsi="Calibri" w:cs="Times New Roman"/>
          <w:sz w:val="24"/>
          <w:szCs w:val="24"/>
        </w:rPr>
        <w:t xml:space="preserve"> Управляващият орган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r w:rsidR="001520A8">
        <w:rPr>
          <w:rFonts w:ascii="Calibri" w:eastAsia="Calibri" w:hAnsi="Calibri" w:cs="Times New Roman"/>
          <w:sz w:val="24"/>
          <w:szCs w:val="24"/>
        </w:rPr>
        <w:t>.</w:t>
      </w:r>
    </w:p>
    <w:p w:rsidR="00976F89" w:rsidRPr="003C4AB6" w:rsidRDefault="009D4616" w:rsidP="003659D3">
      <w:pPr>
        <w:pStyle w:val="Heading3"/>
        <w:spacing w:before="120" w:after="120"/>
        <w:rPr>
          <w:sz w:val="24"/>
          <w:szCs w:val="24"/>
        </w:rPr>
      </w:pPr>
      <w:bookmarkStart w:id="30" w:name="_Toc442298733"/>
      <w:r>
        <w:rPr>
          <w:sz w:val="24"/>
          <w:szCs w:val="24"/>
        </w:rPr>
        <w:t>21</w:t>
      </w:r>
      <w:r w:rsidR="00976F89" w:rsidRPr="003C4AB6">
        <w:rPr>
          <w:sz w:val="24"/>
          <w:szCs w:val="24"/>
        </w:rPr>
        <w:t>.2. Техническа и финансова оценка</w:t>
      </w:r>
      <w:bookmarkEnd w:id="30"/>
    </w:p>
    <w:p w:rsidR="00976F89" w:rsidRPr="003C4AB6"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76F89" w:rsidRPr="003C4AB6"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76F89" w:rsidRPr="003C4AB6" w:rsidRDefault="00976F89"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lastRenderedPageBreak/>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w:t>
      </w:r>
      <w:r w:rsidR="00935BEE" w:rsidRPr="003C4AB6">
        <w:rPr>
          <w:sz w:val="24"/>
          <w:szCs w:val="24"/>
        </w:rPr>
        <w:t xml:space="preserve"> подробно указани в Приложение </w:t>
      </w:r>
      <w:r w:rsidR="00C61FED" w:rsidRPr="003C4AB6">
        <w:rPr>
          <w:sz w:val="24"/>
          <w:szCs w:val="24"/>
        </w:rPr>
        <w:t>Й</w:t>
      </w:r>
      <w:r w:rsidRPr="003C4AB6">
        <w:rPr>
          <w:sz w:val="24"/>
          <w:szCs w:val="24"/>
        </w:rPr>
        <w:t xml:space="preserve"> към </w:t>
      </w:r>
      <w:r w:rsidR="007B1E28">
        <w:rPr>
          <w:sz w:val="24"/>
          <w:szCs w:val="24"/>
        </w:rPr>
        <w:t>Условия</w:t>
      </w:r>
      <w:r w:rsidRPr="003C4AB6">
        <w:rPr>
          <w:sz w:val="24"/>
          <w:szCs w:val="24"/>
        </w:rPr>
        <w:t>т</w:t>
      </w:r>
      <w:r w:rsidR="005349F3">
        <w:rPr>
          <w:sz w:val="24"/>
          <w:szCs w:val="24"/>
        </w:rPr>
        <w:t>а</w:t>
      </w:r>
      <w:r w:rsidRPr="003C4AB6">
        <w:rPr>
          <w:sz w:val="24"/>
          <w:szCs w:val="24"/>
        </w:rPr>
        <w:t xml:space="preserve"> за кандидатстване.</w:t>
      </w:r>
    </w:p>
    <w:p w:rsidR="00656E52" w:rsidRPr="003C4AB6" w:rsidRDefault="00656E52"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56E52" w:rsidRPr="003C4AB6" w:rsidRDefault="00656E52"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Техническата оценка и финансовата оценка на проектните предложения включва </w:t>
      </w:r>
      <w:r w:rsidR="00DF788E" w:rsidRPr="003C4AB6">
        <w:rPr>
          <w:sz w:val="24"/>
          <w:szCs w:val="24"/>
        </w:rPr>
        <w:t xml:space="preserve">и </w:t>
      </w:r>
      <w:r w:rsidRPr="003C4AB6">
        <w:rPr>
          <w:sz w:val="24"/>
          <w:szCs w:val="24"/>
        </w:rPr>
        <w:t>проверка и оценка на реалистичността, ефективността и допустимостта на всички предвидени дейности и разходи. В случай че в процеса на техническа и финансова оценка Оценителната комисия установи наличието на обстоятелства (напр. включени в проектното предложение недопустими дейности, недопустими и/или нереалистични разходи, дублиране на заложени дейности и/или разходи и др.), това може да доведе до изменение на бюджета на проектното предложение</w:t>
      </w:r>
      <w:r w:rsidR="00097E7E" w:rsidRPr="003C4AB6">
        <w:rPr>
          <w:sz w:val="24"/>
          <w:szCs w:val="24"/>
        </w:rPr>
        <w:t xml:space="preserve"> (т. 5 от Формуляра за кандидатстване)</w:t>
      </w:r>
      <w:r w:rsidRPr="003C4AB6">
        <w:rPr>
          <w:sz w:val="24"/>
          <w:szCs w:val="24"/>
        </w:rPr>
        <w:t>.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1668BF" w:rsidRPr="003C4AB6" w:rsidRDefault="001668BF"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91F96" w:rsidRPr="003C4AB6" w:rsidRDefault="00991F9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По време на оценката, предложените индикативни цени за инвестиции в активи ще подлежат на проверка от страна на Оценителната комисия по отношение на реалистичност спрямо посочените цени в приложените оферти/извлечения от каталози на производители/ доставчици и/или проучвания в интернет.</w:t>
      </w:r>
    </w:p>
    <w:p w:rsidR="00EE5E1F" w:rsidRPr="003C4AB6" w:rsidRDefault="00EE5E1F" w:rsidP="000C1D2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91F96" w:rsidRPr="003C4AB6" w:rsidRDefault="00991F9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В случай че по време на финансовата оценка се установи надвишаване интензитета на безвъзмездната финансова помощ и/или максималният размер на</w:t>
      </w:r>
      <w:r w:rsidR="005D64CA" w:rsidRPr="003C4AB6">
        <w:rPr>
          <w:sz w:val="24"/>
          <w:szCs w:val="24"/>
        </w:rPr>
        <w:t xml:space="preserve"> безвъзмездната финансова помощ</w:t>
      </w:r>
      <w:r w:rsidR="00013FB4" w:rsidRPr="003C4AB6">
        <w:rPr>
          <w:sz w:val="24"/>
          <w:szCs w:val="24"/>
        </w:rPr>
        <w:t>,</w:t>
      </w:r>
      <w:r w:rsidRPr="003C4AB6">
        <w:rPr>
          <w:sz w:val="24"/>
          <w:szCs w:val="24"/>
        </w:rPr>
        <w:t xml:space="preserve"> определен в настоящите </w:t>
      </w:r>
      <w:r w:rsidR="007B1E28">
        <w:rPr>
          <w:sz w:val="24"/>
          <w:szCs w:val="24"/>
        </w:rPr>
        <w:t>Условия</w:t>
      </w:r>
      <w:r w:rsidRPr="003C4AB6">
        <w:rPr>
          <w:sz w:val="24"/>
          <w:szCs w:val="24"/>
        </w:rPr>
        <w:t xml:space="preserve"> за кандидатстване, Оценителната комисия служебно го намалява до максимално допустимия интензитет и/или размер.</w:t>
      </w:r>
    </w:p>
    <w:p w:rsidR="00497402" w:rsidRPr="003C4AB6" w:rsidRDefault="00497402"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985086" w:rsidRPr="003C4AB6" w:rsidRDefault="0098508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3C4AB6">
        <w:rPr>
          <w:sz w:val="24"/>
          <w:szCs w:val="24"/>
        </w:rPr>
        <w:t xml:space="preserve">В случай че по време на финансовата оценка се установи наличие на недопустими разходи или на разходи, които не са съпоставими с пазарните цени за аналогични активи, Оценителната комисия служебно </w:t>
      </w:r>
      <w:r w:rsidR="008D19CE" w:rsidRPr="003C4AB6">
        <w:rPr>
          <w:sz w:val="24"/>
          <w:szCs w:val="24"/>
        </w:rPr>
        <w:t>коригира/</w:t>
      </w:r>
      <w:r w:rsidRPr="003C4AB6">
        <w:rPr>
          <w:sz w:val="24"/>
          <w:szCs w:val="24"/>
        </w:rPr>
        <w:t>премахва съответните разходи от бюджета на проекта</w:t>
      </w:r>
      <w:r w:rsidR="00097E7E" w:rsidRPr="003C4AB6">
        <w:rPr>
          <w:sz w:val="24"/>
          <w:szCs w:val="24"/>
        </w:rPr>
        <w:t xml:space="preserve"> (т. 5 от Формуляра за кандидатстване)</w:t>
      </w:r>
      <w:r w:rsidRPr="003C4AB6">
        <w:rPr>
          <w:sz w:val="24"/>
          <w:szCs w:val="24"/>
        </w:rPr>
        <w:t>.</w:t>
      </w:r>
    </w:p>
    <w:p w:rsidR="00991F96" w:rsidRPr="003C4AB6" w:rsidRDefault="00991F96" w:rsidP="00991F9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E33915" w:rsidRPr="003C4AB6" w:rsidRDefault="00991F96"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E40B0">
        <w:rPr>
          <w:sz w:val="24"/>
          <w:szCs w:val="24"/>
        </w:rPr>
        <w:t xml:space="preserve">Извън тази проверка е възможно да бъдат установени и други обстоятелства, които да изискват </w:t>
      </w:r>
      <w:r w:rsidR="007C2F71" w:rsidRPr="006E40B0">
        <w:rPr>
          <w:sz w:val="24"/>
          <w:szCs w:val="24"/>
        </w:rPr>
        <w:t>допълнителна пояснителна информация или документ от кандидатите</w:t>
      </w:r>
      <w:r w:rsidR="007C2F71" w:rsidRPr="006E40B0" w:rsidDel="007C2F71">
        <w:rPr>
          <w:sz w:val="24"/>
          <w:szCs w:val="24"/>
        </w:rPr>
        <w:t xml:space="preserve"> </w:t>
      </w:r>
      <w:r w:rsidRPr="006E40B0">
        <w:rPr>
          <w:sz w:val="24"/>
          <w:szCs w:val="24"/>
        </w:rPr>
        <w:t>относно декларираните обстоятелства и представе</w:t>
      </w:r>
      <w:r w:rsidR="00CC51AF" w:rsidRPr="006E40B0">
        <w:rPr>
          <w:sz w:val="24"/>
          <w:szCs w:val="24"/>
        </w:rPr>
        <w:t>ните документи, съгласно т. 2</w:t>
      </w:r>
      <w:r w:rsidR="003B4F94">
        <w:rPr>
          <w:sz w:val="24"/>
          <w:szCs w:val="24"/>
        </w:rPr>
        <w:t>4</w:t>
      </w:r>
      <w:r w:rsidRPr="006E40B0">
        <w:rPr>
          <w:sz w:val="24"/>
          <w:szCs w:val="24"/>
        </w:rPr>
        <w:t xml:space="preserve"> от </w:t>
      </w:r>
      <w:r w:rsidR="007B1E28">
        <w:rPr>
          <w:sz w:val="24"/>
          <w:szCs w:val="24"/>
        </w:rPr>
        <w:t>Условия</w:t>
      </w:r>
      <w:r w:rsidRPr="006E40B0">
        <w:rPr>
          <w:sz w:val="24"/>
          <w:szCs w:val="24"/>
        </w:rPr>
        <w:t>т</w:t>
      </w:r>
      <w:r w:rsidR="005349F3">
        <w:rPr>
          <w:sz w:val="24"/>
          <w:szCs w:val="24"/>
        </w:rPr>
        <w:t>а</w:t>
      </w:r>
      <w:r w:rsidRPr="006E40B0">
        <w:rPr>
          <w:sz w:val="24"/>
          <w:szCs w:val="24"/>
        </w:rPr>
        <w:t xml:space="preserve"> за кандидатстване. Допълнителни разяснения </w:t>
      </w:r>
      <w:r w:rsidR="007C2F71" w:rsidRPr="006E40B0">
        <w:rPr>
          <w:sz w:val="24"/>
          <w:szCs w:val="24"/>
        </w:rPr>
        <w:t xml:space="preserve">и документи </w:t>
      </w:r>
      <w:r w:rsidRPr="006E40B0">
        <w:rPr>
          <w:sz w:val="24"/>
          <w:szCs w:val="24"/>
        </w:rPr>
        <w:t>от кандидатите могат да бъдат изискани като за целта</w:t>
      </w:r>
      <w:r w:rsidRPr="003C4AB6">
        <w:rPr>
          <w:sz w:val="24"/>
          <w:szCs w:val="24"/>
        </w:rPr>
        <w:t xml:space="preserve"> ще бъде предоставян срок от </w:t>
      </w:r>
      <w:r w:rsidR="007C2F71" w:rsidRPr="003C4AB6">
        <w:rPr>
          <w:sz w:val="24"/>
          <w:szCs w:val="24"/>
        </w:rPr>
        <w:t xml:space="preserve">5 </w:t>
      </w:r>
      <w:r w:rsidRPr="003C4AB6">
        <w:rPr>
          <w:sz w:val="24"/>
          <w:szCs w:val="24"/>
        </w:rPr>
        <w:t>(</w:t>
      </w:r>
      <w:r w:rsidR="007C2F71" w:rsidRPr="003C4AB6">
        <w:rPr>
          <w:sz w:val="24"/>
          <w:szCs w:val="24"/>
        </w:rPr>
        <w:t>пет</w:t>
      </w:r>
      <w:r w:rsidRPr="003C4AB6">
        <w:rPr>
          <w:sz w:val="24"/>
          <w:szCs w:val="24"/>
        </w:rPr>
        <w:t>) работни дни от датата на получаване на искането за предоставяне на допълнителни разяснения/документи, като денят на получаване на искането не се брои.</w:t>
      </w:r>
      <w:r w:rsidR="00BB4E4B" w:rsidRPr="003C4AB6">
        <w:rPr>
          <w:sz w:val="24"/>
          <w:szCs w:val="24"/>
        </w:rPr>
        <w:t xml:space="preserve"> </w:t>
      </w:r>
      <w:r w:rsidR="00602204" w:rsidRPr="003C4AB6">
        <w:rPr>
          <w:sz w:val="24"/>
          <w:szCs w:val="24"/>
        </w:rPr>
        <w:t>Исканията за представяне на допълнителни документи и разяснения ще се изпращат през ИСУН 2020 чрез електронния профил на кандидата</w:t>
      </w:r>
      <w:r w:rsidR="008D3461" w:rsidRPr="003C4AB6">
        <w:rPr>
          <w:sz w:val="24"/>
          <w:szCs w:val="24"/>
        </w:rPr>
        <w:t xml:space="preserve">, като кандидатът ще бъде известяван за посоченото електронно чрез електронния адрес, асоцииран към </w:t>
      </w:r>
      <w:r w:rsidR="00DA48AB" w:rsidRPr="003C4AB6">
        <w:rPr>
          <w:sz w:val="24"/>
          <w:szCs w:val="24"/>
        </w:rPr>
        <w:t xml:space="preserve">неговия </w:t>
      </w:r>
      <w:r w:rsidR="008D3461" w:rsidRPr="003C4AB6">
        <w:rPr>
          <w:sz w:val="24"/>
          <w:szCs w:val="24"/>
        </w:rPr>
        <w:t>профил.</w:t>
      </w:r>
      <w:r w:rsidR="00602204" w:rsidRPr="003C4AB6">
        <w:rPr>
          <w:sz w:val="24"/>
          <w:szCs w:val="24"/>
        </w:rPr>
        <w:t xml:space="preserve"> </w:t>
      </w:r>
      <w:r w:rsidR="00BB4E4B" w:rsidRPr="003C4AB6">
        <w:rPr>
          <w:sz w:val="24"/>
          <w:szCs w:val="24"/>
        </w:rPr>
        <w:t xml:space="preserve">За дата на получаване </w:t>
      </w:r>
      <w:r w:rsidR="00A131F4" w:rsidRPr="003C4AB6">
        <w:rPr>
          <w:sz w:val="24"/>
          <w:szCs w:val="24"/>
        </w:rPr>
        <w:t xml:space="preserve">на исканията за документи/информация </w:t>
      </w:r>
      <w:r w:rsidR="00BB4E4B" w:rsidRPr="003C4AB6">
        <w:rPr>
          <w:sz w:val="24"/>
          <w:szCs w:val="24"/>
        </w:rPr>
        <w:t>се счита датата отбелязана в ИСУН</w:t>
      </w:r>
      <w:r w:rsidR="00C21485" w:rsidRPr="003C4AB6">
        <w:rPr>
          <w:sz w:val="24"/>
          <w:szCs w:val="24"/>
        </w:rPr>
        <w:t xml:space="preserve"> 2020</w:t>
      </w:r>
      <w:r w:rsidR="008D3461" w:rsidRPr="003C4AB6">
        <w:rPr>
          <w:sz w:val="24"/>
          <w:szCs w:val="24"/>
        </w:rPr>
        <w:t xml:space="preserve">, на която кандидатът е влязъл в профила си за да провери </w:t>
      </w:r>
      <w:r w:rsidR="00DA48AB" w:rsidRPr="003C4AB6">
        <w:rPr>
          <w:sz w:val="24"/>
          <w:szCs w:val="24"/>
        </w:rPr>
        <w:t xml:space="preserve">съдържанието на </w:t>
      </w:r>
      <w:r w:rsidR="008D3461" w:rsidRPr="003C4AB6">
        <w:rPr>
          <w:sz w:val="24"/>
          <w:szCs w:val="24"/>
        </w:rPr>
        <w:t>изпратеното чрез ИСУН искане</w:t>
      </w:r>
      <w:r w:rsidR="00BB4E4B" w:rsidRPr="003C4AB6">
        <w:rPr>
          <w:sz w:val="24"/>
          <w:szCs w:val="24"/>
        </w:rPr>
        <w:t>.</w:t>
      </w:r>
      <w:r w:rsidR="00A10D92" w:rsidRPr="003C4AB6">
        <w:rPr>
          <w:sz w:val="24"/>
          <w:szCs w:val="24"/>
        </w:rPr>
        <w:t xml:space="preserve"> В </w:t>
      </w:r>
      <w:r w:rsidR="00A10D92" w:rsidRPr="003C4AB6">
        <w:rPr>
          <w:sz w:val="24"/>
          <w:szCs w:val="24"/>
        </w:rPr>
        <w:lastRenderedPageBreak/>
        <w:t xml:space="preserve">случай че </w:t>
      </w:r>
      <w:r w:rsidR="006B3224" w:rsidRPr="003C4AB6">
        <w:rPr>
          <w:sz w:val="24"/>
          <w:szCs w:val="24"/>
        </w:rPr>
        <w:t>посоченото действие не бъде отразено в ИСУН</w:t>
      </w:r>
      <w:r w:rsidR="00A10D92" w:rsidRPr="003C4AB6">
        <w:rPr>
          <w:sz w:val="24"/>
          <w:szCs w:val="24"/>
        </w:rPr>
        <w:t xml:space="preserve"> в рамките на </w:t>
      </w:r>
      <w:r w:rsidR="004404DC" w:rsidRPr="003C4AB6">
        <w:rPr>
          <w:sz w:val="24"/>
          <w:szCs w:val="24"/>
        </w:rPr>
        <w:t>3</w:t>
      </w:r>
      <w:r w:rsidR="00A10D92" w:rsidRPr="003C4AB6">
        <w:rPr>
          <w:sz w:val="24"/>
          <w:szCs w:val="24"/>
        </w:rPr>
        <w:t xml:space="preserve"> дни от изпращане на искането, срокът за представяне на допълнителни документи/информация</w:t>
      </w:r>
      <w:r w:rsidR="006B3224" w:rsidRPr="003C4AB6">
        <w:rPr>
          <w:sz w:val="24"/>
          <w:szCs w:val="24"/>
        </w:rPr>
        <w:t xml:space="preserve"> започва да тече от деня</w:t>
      </w:r>
      <w:r w:rsidR="005E153F" w:rsidRPr="003C4AB6">
        <w:rPr>
          <w:sz w:val="24"/>
          <w:szCs w:val="24"/>
        </w:rPr>
        <w:t>,</w:t>
      </w:r>
      <w:r w:rsidR="006B3224" w:rsidRPr="003C4AB6">
        <w:rPr>
          <w:sz w:val="24"/>
          <w:szCs w:val="24"/>
        </w:rPr>
        <w:t xml:space="preserve"> следващ изтичането на </w:t>
      </w:r>
      <w:r w:rsidR="005E153F" w:rsidRPr="003C4AB6">
        <w:rPr>
          <w:sz w:val="24"/>
          <w:szCs w:val="24"/>
        </w:rPr>
        <w:t>3-</w:t>
      </w:r>
      <w:r w:rsidR="006B3224" w:rsidRPr="003C4AB6">
        <w:rPr>
          <w:sz w:val="24"/>
          <w:szCs w:val="24"/>
        </w:rPr>
        <w:t>дневния срок</w:t>
      </w:r>
      <w:r w:rsidRPr="003C4AB6">
        <w:rPr>
          <w:sz w:val="24"/>
          <w:szCs w:val="24"/>
        </w:rPr>
        <w:t xml:space="preserve">. </w:t>
      </w:r>
      <w:r w:rsidR="00F370F7" w:rsidRPr="003C4AB6">
        <w:rPr>
          <w:sz w:val="24"/>
          <w:szCs w:val="24"/>
        </w:rPr>
        <w:t>Кандидатът представя допълнителните разяснения и/или документи</w:t>
      </w:r>
      <w:r w:rsidR="00563D28" w:rsidRPr="003C4AB6">
        <w:rPr>
          <w:sz w:val="24"/>
          <w:szCs w:val="24"/>
        </w:rPr>
        <w:t xml:space="preserve"> </w:t>
      </w:r>
      <w:r w:rsidR="0024408B" w:rsidRPr="003C4AB6">
        <w:rPr>
          <w:sz w:val="24"/>
          <w:szCs w:val="24"/>
        </w:rPr>
        <w:t>по електронен път чрез ИСУН 2020</w:t>
      </w:r>
      <w:r w:rsidR="008664AB" w:rsidRPr="003C4AB6">
        <w:rPr>
          <w:sz w:val="24"/>
          <w:szCs w:val="24"/>
        </w:rPr>
        <w:t>. Д</w:t>
      </w:r>
      <w:r w:rsidRPr="003C4AB6">
        <w:rPr>
          <w:sz w:val="24"/>
          <w:szCs w:val="24"/>
        </w:rPr>
        <w:t xml:space="preserve">опълнителна информация </w:t>
      </w:r>
      <w:r w:rsidR="00F370F7" w:rsidRPr="003C4AB6">
        <w:rPr>
          <w:sz w:val="24"/>
          <w:szCs w:val="24"/>
        </w:rPr>
        <w:t>може да бъде предоставена само по искане на оценителната комисия, като информацията</w:t>
      </w:r>
      <w:r w:rsidRPr="003C4AB6">
        <w:rPr>
          <w:sz w:val="24"/>
          <w:szCs w:val="24"/>
        </w:rPr>
        <w:t xml:space="preserve"> не следва да съдържа елементи, водещи до подобряване на първоначалното проектно предложение. </w:t>
      </w:r>
      <w:r w:rsidR="008664AB" w:rsidRPr="003C4AB6">
        <w:rPr>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A131F4" w:rsidRPr="003C4AB6">
        <w:rPr>
          <w:sz w:val="24"/>
          <w:szCs w:val="24"/>
        </w:rPr>
        <w:t xml:space="preserve"> </w:t>
      </w:r>
      <w:r w:rsidRPr="003C4AB6">
        <w:rPr>
          <w:sz w:val="24"/>
          <w:szCs w:val="24"/>
        </w:rPr>
        <w:t>Всяка информация, предоставена извън официално изисканата от Оценителната комисия, няма да бъде вземана под внимание</w:t>
      </w:r>
      <w:r w:rsidR="00B47D4C" w:rsidRPr="003C4AB6">
        <w:rPr>
          <w:sz w:val="24"/>
          <w:szCs w:val="24"/>
        </w:rPr>
        <w:t>.</w:t>
      </w:r>
      <w:r w:rsidR="00C4554D" w:rsidRPr="003C4AB6">
        <w:rPr>
          <w:sz w:val="24"/>
          <w:szCs w:val="24"/>
        </w:rPr>
        <w:t xml:space="preserve"> </w:t>
      </w:r>
    </w:p>
    <w:p w:rsidR="00A131F4" w:rsidRPr="003C4AB6" w:rsidRDefault="00A131F4" w:rsidP="000C652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Техническият процес свързан с </w:t>
      </w:r>
      <w:r w:rsidR="00E33915" w:rsidRPr="003C4AB6">
        <w:rPr>
          <w:sz w:val="24"/>
          <w:szCs w:val="24"/>
        </w:rPr>
        <w:t>представянето на допълнителна информация/документи</w:t>
      </w:r>
      <w:r w:rsidRPr="003C4AB6">
        <w:rPr>
          <w:sz w:val="24"/>
          <w:szCs w:val="24"/>
        </w:rPr>
        <w:t xml:space="preserve"> е описан в </w:t>
      </w:r>
      <w:r w:rsidR="00833F83" w:rsidRPr="003C4AB6">
        <w:rPr>
          <w:sz w:val="24"/>
          <w:szCs w:val="24"/>
        </w:rPr>
        <w:t>Р</w:t>
      </w:r>
      <w:r w:rsidRPr="003C4AB6">
        <w:rPr>
          <w:sz w:val="24"/>
          <w:szCs w:val="24"/>
        </w:rPr>
        <w:t xml:space="preserve">ъководството </w:t>
      </w:r>
      <w:r w:rsidR="00833F83" w:rsidRPr="003C4AB6">
        <w:rPr>
          <w:sz w:val="24"/>
          <w:szCs w:val="24"/>
        </w:rPr>
        <w:t>з</w:t>
      </w:r>
      <w:r w:rsidRPr="003C4AB6">
        <w:rPr>
          <w:sz w:val="24"/>
          <w:szCs w:val="24"/>
        </w:rPr>
        <w:t xml:space="preserve">а </w:t>
      </w:r>
      <w:r w:rsidR="00833F83" w:rsidRPr="003C4AB6">
        <w:rPr>
          <w:sz w:val="24"/>
          <w:szCs w:val="24"/>
        </w:rPr>
        <w:t>потребителя</w:t>
      </w:r>
      <w:r w:rsidR="00833F83" w:rsidRPr="003C4AB6">
        <w:t xml:space="preserve"> </w:t>
      </w:r>
      <w:r w:rsidR="00833F83" w:rsidRPr="003C4AB6">
        <w:rPr>
          <w:sz w:val="24"/>
          <w:szCs w:val="24"/>
        </w:rPr>
        <w:t xml:space="preserve">за модул “Е-кандидатстване” в </w:t>
      </w:r>
      <w:r w:rsidRPr="003C4AB6">
        <w:rPr>
          <w:sz w:val="24"/>
          <w:szCs w:val="24"/>
        </w:rPr>
        <w:t>ИСУН</w:t>
      </w:r>
      <w:r w:rsidR="002F3CEF" w:rsidRPr="003C4AB6">
        <w:rPr>
          <w:sz w:val="24"/>
          <w:szCs w:val="24"/>
        </w:rPr>
        <w:t xml:space="preserve"> 2020</w:t>
      </w:r>
      <w:r w:rsidR="00421985" w:rsidRPr="003C4AB6">
        <w:rPr>
          <w:rStyle w:val="FootnoteReference"/>
          <w:sz w:val="24"/>
          <w:szCs w:val="24"/>
        </w:rPr>
        <w:footnoteReference w:id="20"/>
      </w:r>
      <w:r w:rsidRPr="003C4AB6">
        <w:rPr>
          <w:sz w:val="24"/>
          <w:szCs w:val="24"/>
        </w:rPr>
        <w:t xml:space="preserve">. </w:t>
      </w:r>
    </w:p>
    <w:p w:rsidR="002325A3" w:rsidRPr="00FF3BDA" w:rsidRDefault="002325A3" w:rsidP="007B1E28">
      <w:pPr>
        <w:pStyle w:val="ListParagraph"/>
        <w:spacing w:after="360" w:line="240" w:lineRule="auto"/>
        <w:ind w:left="0"/>
        <w:jc w:val="right"/>
        <w:rPr>
          <w:b/>
          <w:sz w:val="10"/>
          <w:szCs w:val="10"/>
        </w:rPr>
      </w:pPr>
      <w:r w:rsidRPr="003C4AB6">
        <w:rPr>
          <w:b/>
          <w:sz w:val="24"/>
          <w:szCs w:val="24"/>
        </w:rPr>
        <w:t xml:space="preserve">    </w:t>
      </w:r>
    </w:p>
    <w:p w:rsidR="002325A3" w:rsidRPr="003C4AB6" w:rsidRDefault="00CB14EE" w:rsidP="003659D3">
      <w:pPr>
        <w:pStyle w:val="Heading2"/>
        <w:spacing w:before="120" w:after="120"/>
      </w:pPr>
      <w:bookmarkStart w:id="31" w:name="_Toc442298734"/>
      <w:r w:rsidRPr="003C4AB6">
        <w:t>2</w:t>
      </w:r>
      <w:r w:rsidR="005F1AFE">
        <w:t>2</w:t>
      </w:r>
      <w:r w:rsidR="002C08E5" w:rsidRPr="003C4AB6">
        <w:t xml:space="preserve">. </w:t>
      </w:r>
      <w:r w:rsidR="002325A3" w:rsidRPr="003C4AB6">
        <w:t xml:space="preserve">Критерии </w:t>
      </w:r>
      <w:r w:rsidR="005F1AFE">
        <w:t xml:space="preserve">и методика </w:t>
      </w:r>
      <w:r w:rsidR="002325A3" w:rsidRPr="003C4AB6">
        <w:t>за оценка на проектните предложения:</w:t>
      </w:r>
      <w:bookmarkEnd w:id="31"/>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31"/>
        <w:gridCol w:w="1475"/>
      </w:tblGrid>
      <w:tr w:rsidR="007D1229"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6A6A6"/>
          </w:tcPr>
          <w:p w:rsidR="007D1229" w:rsidRPr="003C4AB6" w:rsidRDefault="005A396D" w:rsidP="005A396D">
            <w:pPr>
              <w:spacing w:before="60" w:after="60" w:line="360" w:lineRule="auto"/>
              <w:rPr>
                <w:rFonts w:eastAsia="Times New Roman" w:cs="Calibri"/>
                <w:b/>
                <w:bCs/>
                <w:sz w:val="24"/>
                <w:szCs w:val="24"/>
                <w:lang w:eastAsia="pl-PL"/>
              </w:rPr>
            </w:pPr>
            <w:r w:rsidRPr="003C4AB6">
              <w:rPr>
                <w:rFonts w:eastAsia="Times New Roman" w:cs="Calibri"/>
                <w:b/>
                <w:bCs/>
                <w:sz w:val="24"/>
                <w:szCs w:val="24"/>
                <w:lang w:eastAsia="pl-PL"/>
              </w:rPr>
              <w:t>Критерии</w:t>
            </w:r>
          </w:p>
        </w:tc>
        <w:tc>
          <w:tcPr>
            <w:tcW w:w="768" w:type="pct"/>
            <w:tcBorders>
              <w:top w:val="single" w:sz="4" w:space="0" w:color="auto"/>
              <w:left w:val="single" w:sz="4" w:space="0" w:color="auto"/>
              <w:bottom w:val="single" w:sz="4" w:space="0" w:color="auto"/>
              <w:right w:val="single" w:sz="4" w:space="0" w:color="auto"/>
            </w:tcBorders>
            <w:shd w:val="clear" w:color="auto" w:fill="A6A6A6"/>
            <w:vAlign w:val="center"/>
          </w:tcPr>
          <w:p w:rsidR="007D1229" w:rsidRPr="003C4AB6" w:rsidRDefault="005A396D" w:rsidP="0094661D">
            <w:pPr>
              <w:spacing w:before="60" w:after="60" w:line="240" w:lineRule="auto"/>
              <w:jc w:val="center"/>
              <w:rPr>
                <w:rFonts w:eastAsia="Times New Roman" w:cs="Calibri"/>
                <w:b/>
                <w:sz w:val="24"/>
                <w:szCs w:val="24"/>
                <w:lang w:eastAsia="pl-PL"/>
              </w:rPr>
            </w:pPr>
            <w:r w:rsidRPr="003C4AB6">
              <w:rPr>
                <w:rFonts w:eastAsia="Times New Roman" w:cs="Calibri"/>
                <w:b/>
                <w:sz w:val="24"/>
                <w:szCs w:val="24"/>
                <w:lang w:eastAsia="pl-PL"/>
              </w:rPr>
              <w:t>Макс. брой точки</w:t>
            </w:r>
          </w:p>
        </w:tc>
      </w:tr>
      <w:tr w:rsidR="005E668A"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D9D9D9"/>
          </w:tcPr>
          <w:p w:rsidR="005E668A" w:rsidRPr="003C4AB6" w:rsidRDefault="005E668A" w:rsidP="001B45BD">
            <w:pPr>
              <w:spacing w:before="60" w:after="60"/>
              <w:jc w:val="both"/>
              <w:rPr>
                <w:rFonts w:eastAsia="Times New Roman" w:cstheme="minorHAnsi"/>
                <w:sz w:val="24"/>
                <w:szCs w:val="24"/>
                <w:lang w:eastAsia="bg-BG"/>
              </w:rPr>
            </w:pPr>
            <w:r w:rsidRPr="003C4AB6">
              <w:rPr>
                <w:rFonts w:eastAsia="Times New Roman" w:cstheme="minorHAnsi"/>
                <w:b/>
                <w:bCs/>
                <w:sz w:val="24"/>
                <w:szCs w:val="24"/>
                <w:lang w:eastAsia="pl-PL"/>
              </w:rPr>
              <w:t>I. Иновативност и пазарна приложимост на разработваната иновация</w:t>
            </w:r>
          </w:p>
        </w:tc>
        <w:tc>
          <w:tcPr>
            <w:tcW w:w="768" w:type="pct"/>
            <w:tcBorders>
              <w:top w:val="single" w:sz="4" w:space="0" w:color="auto"/>
              <w:left w:val="single" w:sz="4" w:space="0" w:color="auto"/>
              <w:bottom w:val="single" w:sz="4" w:space="0" w:color="auto"/>
              <w:right w:val="single" w:sz="4" w:space="0" w:color="auto"/>
            </w:tcBorders>
            <w:shd w:val="clear" w:color="auto" w:fill="D9D9D9"/>
            <w:vAlign w:val="center"/>
          </w:tcPr>
          <w:p w:rsidR="005E668A" w:rsidRPr="003C4AB6" w:rsidRDefault="005E668A" w:rsidP="001B45BD">
            <w:pPr>
              <w:spacing w:before="60" w:after="60"/>
              <w:jc w:val="center"/>
              <w:rPr>
                <w:rFonts w:eastAsia="Times New Roman" w:cstheme="minorHAnsi"/>
                <w:sz w:val="24"/>
                <w:szCs w:val="24"/>
                <w:lang w:eastAsia="bg-BG"/>
              </w:rPr>
            </w:pPr>
            <w:r w:rsidRPr="003C4AB6">
              <w:rPr>
                <w:rFonts w:eastAsia="Times New Roman" w:cstheme="minorHAnsi"/>
                <w:b/>
                <w:bCs/>
                <w:sz w:val="24"/>
                <w:szCs w:val="24"/>
                <w:lang w:val="en-US" w:eastAsia="pl-PL"/>
              </w:rPr>
              <w:t>3</w:t>
            </w:r>
            <w:r w:rsidRPr="003C4AB6">
              <w:rPr>
                <w:rFonts w:eastAsia="Times New Roman" w:cstheme="minorHAnsi"/>
                <w:b/>
                <w:bCs/>
                <w:sz w:val="24"/>
                <w:szCs w:val="24"/>
                <w:lang w:eastAsia="pl-PL"/>
              </w:rPr>
              <w:t>2</w:t>
            </w:r>
          </w:p>
        </w:tc>
      </w:tr>
      <w:tr w:rsidR="005E668A"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FFFFFF"/>
          </w:tcPr>
          <w:p w:rsidR="005E668A" w:rsidRPr="003C4AB6" w:rsidRDefault="005E668A" w:rsidP="001B45BD">
            <w:pPr>
              <w:spacing w:before="60" w:after="60"/>
              <w:jc w:val="both"/>
              <w:rPr>
                <w:rFonts w:eastAsia="Times New Roman" w:cstheme="minorHAnsi"/>
                <w:sz w:val="24"/>
                <w:szCs w:val="24"/>
                <w:lang w:eastAsia="bg-BG"/>
              </w:rPr>
            </w:pPr>
            <w:r w:rsidRPr="003C4AB6">
              <w:rPr>
                <w:rFonts w:eastAsia="Times New Roman" w:cstheme="minorHAnsi"/>
                <w:bCs/>
                <w:color w:val="000000"/>
                <w:sz w:val="24"/>
                <w:szCs w:val="24"/>
                <w:lang w:eastAsia="pl-PL"/>
              </w:rPr>
              <w:t>1. Новост на разработваната иновация</w:t>
            </w:r>
          </w:p>
        </w:tc>
        <w:tc>
          <w:tcPr>
            <w:tcW w:w="768" w:type="pct"/>
            <w:tcBorders>
              <w:top w:val="single" w:sz="4" w:space="0" w:color="auto"/>
              <w:left w:val="single" w:sz="4" w:space="0" w:color="auto"/>
              <w:bottom w:val="single" w:sz="4" w:space="0" w:color="auto"/>
              <w:right w:val="single" w:sz="4" w:space="0" w:color="auto"/>
            </w:tcBorders>
            <w:shd w:val="clear" w:color="auto" w:fill="FFFFFF"/>
            <w:vAlign w:val="center"/>
          </w:tcPr>
          <w:p w:rsidR="005E668A" w:rsidRPr="003C4AB6" w:rsidRDefault="005E668A" w:rsidP="001B45BD">
            <w:pPr>
              <w:spacing w:before="60" w:after="60"/>
              <w:jc w:val="center"/>
              <w:rPr>
                <w:rFonts w:eastAsia="Times New Roman" w:cstheme="minorHAnsi"/>
                <w:sz w:val="24"/>
                <w:szCs w:val="24"/>
                <w:lang w:eastAsia="bg-BG"/>
              </w:rPr>
            </w:pPr>
            <w:r w:rsidRPr="003C4AB6">
              <w:rPr>
                <w:rFonts w:eastAsia="Times New Roman" w:cstheme="minorHAnsi"/>
                <w:bCs/>
                <w:color w:val="000000"/>
                <w:sz w:val="24"/>
                <w:szCs w:val="24"/>
                <w:lang w:val="en-US" w:eastAsia="pl-PL"/>
              </w:rPr>
              <w:t>1</w:t>
            </w:r>
            <w:r w:rsidRPr="003C4AB6">
              <w:rPr>
                <w:rFonts w:eastAsia="Times New Roman" w:cstheme="minorHAnsi"/>
                <w:bCs/>
                <w:color w:val="000000"/>
                <w:sz w:val="24"/>
                <w:szCs w:val="24"/>
                <w:lang w:eastAsia="pl-PL"/>
              </w:rPr>
              <w:t>6</w:t>
            </w:r>
          </w:p>
        </w:tc>
      </w:tr>
      <w:tr w:rsidR="005E668A" w:rsidRPr="003C4AB6" w:rsidTr="001B45BD">
        <w:tc>
          <w:tcPr>
            <w:tcW w:w="4232" w:type="pct"/>
            <w:tcBorders>
              <w:top w:val="single" w:sz="4" w:space="0" w:color="auto"/>
              <w:left w:val="single" w:sz="4" w:space="0" w:color="auto"/>
              <w:bottom w:val="single" w:sz="4" w:space="0" w:color="auto"/>
              <w:right w:val="single" w:sz="4" w:space="0" w:color="auto"/>
            </w:tcBorders>
            <w:shd w:val="clear" w:color="auto" w:fill="auto"/>
          </w:tcPr>
          <w:p w:rsidR="005E668A" w:rsidRPr="003C4AB6" w:rsidRDefault="005E668A" w:rsidP="001B45BD">
            <w:pPr>
              <w:spacing w:before="60" w:after="60"/>
              <w:jc w:val="both"/>
              <w:rPr>
                <w:rFonts w:eastAsia="Times New Roman" w:cstheme="minorHAnsi"/>
                <w:sz w:val="24"/>
                <w:szCs w:val="24"/>
                <w:lang w:eastAsia="bg-BG"/>
              </w:rPr>
            </w:pPr>
            <w:r w:rsidRPr="003C4AB6">
              <w:rPr>
                <w:rFonts w:eastAsia="Times New Roman" w:cstheme="minorHAnsi"/>
                <w:sz w:val="24"/>
                <w:szCs w:val="24"/>
                <w:lang w:eastAsia="pl-PL"/>
              </w:rPr>
              <w:t>2. Пазарна приложимост и жизнеспособност</w:t>
            </w:r>
            <w:r w:rsidRPr="003C4AB6">
              <w:rPr>
                <w:rFonts w:eastAsia="Times New Roman" w:cstheme="minorHAnsi"/>
                <w:sz w:val="24"/>
                <w:szCs w:val="24"/>
                <w:lang w:val="en-US" w:eastAsia="pl-PL"/>
              </w:rPr>
              <w:t xml:space="preserve"> </w:t>
            </w:r>
            <w:r w:rsidRPr="003C4AB6">
              <w:rPr>
                <w:rFonts w:eastAsia="Times New Roman" w:cstheme="minorHAnsi"/>
                <w:sz w:val="24"/>
                <w:szCs w:val="24"/>
                <w:lang w:eastAsia="pl-PL"/>
              </w:rPr>
              <w:t>на разработваната иновация</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5E668A" w:rsidRPr="003C4AB6" w:rsidRDefault="005E668A" w:rsidP="001B45BD">
            <w:pPr>
              <w:spacing w:before="60" w:after="60"/>
              <w:jc w:val="center"/>
              <w:rPr>
                <w:rFonts w:eastAsia="Times New Roman" w:cstheme="minorHAnsi"/>
                <w:sz w:val="24"/>
                <w:szCs w:val="24"/>
                <w:lang w:eastAsia="bg-BG"/>
              </w:rPr>
            </w:pPr>
            <w:r w:rsidRPr="003C4AB6">
              <w:rPr>
                <w:rFonts w:eastAsia="Times New Roman" w:cstheme="minorHAnsi"/>
                <w:bCs/>
                <w:sz w:val="24"/>
                <w:szCs w:val="24"/>
                <w:lang w:eastAsia="pl-PL"/>
              </w:rPr>
              <w:t>16</w:t>
            </w:r>
          </w:p>
        </w:tc>
      </w:tr>
      <w:tr w:rsidR="00967661" w:rsidRPr="003C4AB6" w:rsidTr="0094661D">
        <w:trPr>
          <w:trHeight w:val="397"/>
        </w:trPr>
        <w:tc>
          <w:tcPr>
            <w:tcW w:w="4232" w:type="pct"/>
            <w:tcBorders>
              <w:top w:val="single" w:sz="4" w:space="0" w:color="auto"/>
              <w:left w:val="single" w:sz="4" w:space="0" w:color="auto"/>
              <w:bottom w:val="single" w:sz="4" w:space="0" w:color="auto"/>
              <w:right w:val="single" w:sz="4" w:space="0" w:color="auto"/>
            </w:tcBorders>
            <w:shd w:val="clear" w:color="auto" w:fill="D9D9D9"/>
          </w:tcPr>
          <w:p w:rsidR="00967661" w:rsidRPr="003C4AB6" w:rsidRDefault="00967661" w:rsidP="001B45BD">
            <w:pPr>
              <w:spacing w:before="60" w:after="60"/>
              <w:jc w:val="both"/>
              <w:rPr>
                <w:rFonts w:eastAsia="Times New Roman" w:cstheme="minorHAnsi"/>
                <w:sz w:val="24"/>
                <w:szCs w:val="24"/>
                <w:lang w:eastAsia="bg-BG"/>
              </w:rPr>
            </w:pPr>
            <w:r w:rsidRPr="003C4AB6">
              <w:rPr>
                <w:rFonts w:eastAsia="Times New Roman" w:cstheme="minorHAnsi"/>
                <w:b/>
                <w:bCs/>
                <w:sz w:val="24"/>
                <w:szCs w:val="24"/>
                <w:lang w:eastAsia="pl-PL"/>
              </w:rPr>
              <w:t xml:space="preserve">II. </w:t>
            </w:r>
            <w:r w:rsidRPr="003C4AB6">
              <w:rPr>
                <w:rFonts w:eastAsia="Times New Roman" w:cstheme="minorHAnsi"/>
                <w:b/>
                <w:bCs/>
                <w:sz w:val="24"/>
                <w:szCs w:val="24"/>
                <w:lang w:val="pl-PL" w:eastAsia="pl-PL"/>
              </w:rPr>
              <w:t>Иновативен капацитет</w:t>
            </w:r>
            <w:r w:rsidRPr="003C4AB6">
              <w:rPr>
                <w:rFonts w:eastAsia="Times New Roman" w:cstheme="minorHAnsi"/>
                <w:b/>
                <w:bCs/>
                <w:sz w:val="24"/>
                <w:szCs w:val="24"/>
                <w:lang w:eastAsia="pl-PL"/>
              </w:rPr>
              <w:t xml:space="preserve"> </w:t>
            </w:r>
            <w:r w:rsidRPr="003C4AB6">
              <w:rPr>
                <w:rFonts w:eastAsia="Times New Roman" w:cstheme="minorHAnsi"/>
                <w:b/>
                <w:bCs/>
                <w:sz w:val="24"/>
                <w:szCs w:val="24"/>
                <w:lang w:val="pl-PL" w:eastAsia="pl-PL"/>
              </w:rPr>
              <w:t>на екипа</w:t>
            </w:r>
            <w:r w:rsidRPr="003C4AB6">
              <w:rPr>
                <w:rFonts w:eastAsia="Times New Roman" w:cstheme="minorHAnsi"/>
                <w:b/>
                <w:bCs/>
                <w:sz w:val="24"/>
                <w:szCs w:val="24"/>
                <w:lang w:val="en-US" w:eastAsia="pl-PL"/>
              </w:rPr>
              <w:t xml:space="preserve"> </w:t>
            </w:r>
            <w:r w:rsidRPr="003C4AB6">
              <w:rPr>
                <w:rFonts w:eastAsia="Times New Roman" w:cstheme="minorHAnsi"/>
                <w:b/>
                <w:bCs/>
                <w:sz w:val="24"/>
                <w:szCs w:val="24"/>
                <w:lang w:eastAsia="pl-PL"/>
              </w:rPr>
              <w:t>на кандидата</w:t>
            </w:r>
            <w:r w:rsidRPr="003C4AB6">
              <w:rPr>
                <w:rFonts w:eastAsia="Times New Roman" w:cstheme="minorHAnsi"/>
                <w:b/>
                <w:bCs/>
                <w:sz w:val="24"/>
                <w:szCs w:val="24"/>
                <w:lang w:val="pl-PL" w:eastAsia="pl-PL"/>
              </w:rPr>
              <w:t xml:space="preserve"> </w:t>
            </w:r>
            <w:r w:rsidRPr="003C4AB6">
              <w:rPr>
                <w:rFonts w:eastAsia="Times New Roman" w:cstheme="minorHAnsi"/>
                <w:b/>
                <w:bCs/>
                <w:sz w:val="24"/>
                <w:szCs w:val="24"/>
                <w:lang w:eastAsia="pl-PL"/>
              </w:rPr>
              <w:t xml:space="preserve">и </w:t>
            </w:r>
            <w:r w:rsidRPr="003C4AB6">
              <w:rPr>
                <w:rFonts w:eastAsia="Times New Roman" w:cstheme="minorHAnsi"/>
                <w:b/>
                <w:bCs/>
                <w:sz w:val="24"/>
                <w:szCs w:val="24"/>
                <w:lang w:val="pl-PL" w:eastAsia="pl-PL"/>
              </w:rPr>
              <w:t xml:space="preserve">степен на техническа готовност </w:t>
            </w:r>
          </w:p>
        </w:tc>
        <w:tc>
          <w:tcPr>
            <w:tcW w:w="768" w:type="pct"/>
            <w:tcBorders>
              <w:top w:val="single" w:sz="4" w:space="0" w:color="auto"/>
              <w:left w:val="single" w:sz="4" w:space="0" w:color="auto"/>
              <w:bottom w:val="single" w:sz="4" w:space="0" w:color="auto"/>
              <w:right w:val="single" w:sz="4" w:space="0" w:color="auto"/>
            </w:tcBorders>
            <w:shd w:val="clear" w:color="auto" w:fill="D9D9D9"/>
            <w:vAlign w:val="center"/>
          </w:tcPr>
          <w:p w:rsidR="00967661" w:rsidRPr="003C4AB6" w:rsidRDefault="00967661" w:rsidP="001B45BD">
            <w:pPr>
              <w:spacing w:before="60" w:after="60"/>
              <w:jc w:val="center"/>
              <w:rPr>
                <w:rFonts w:eastAsia="Times New Roman" w:cstheme="minorHAnsi"/>
                <w:sz w:val="24"/>
                <w:szCs w:val="24"/>
                <w:lang w:val="en-US" w:eastAsia="bg-BG"/>
              </w:rPr>
            </w:pPr>
            <w:r w:rsidRPr="003C4AB6">
              <w:rPr>
                <w:rFonts w:eastAsia="Times New Roman" w:cstheme="minorHAnsi"/>
                <w:b/>
                <w:bCs/>
                <w:sz w:val="24"/>
                <w:szCs w:val="24"/>
                <w:lang w:eastAsia="pl-PL"/>
              </w:rPr>
              <w:t>3</w:t>
            </w:r>
            <w:r w:rsidRPr="003C4AB6">
              <w:rPr>
                <w:rFonts w:eastAsia="Times New Roman" w:cstheme="minorHAnsi"/>
                <w:b/>
                <w:bCs/>
                <w:sz w:val="24"/>
                <w:szCs w:val="24"/>
                <w:lang w:val="en-US" w:eastAsia="pl-PL"/>
              </w:rPr>
              <w:t>3</w:t>
            </w:r>
          </w:p>
        </w:tc>
      </w:tr>
      <w:tr w:rsidR="00967661"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both"/>
              <w:rPr>
                <w:rFonts w:eastAsia="Times New Roman" w:cstheme="minorHAnsi"/>
                <w:sz w:val="24"/>
                <w:szCs w:val="24"/>
                <w:lang w:eastAsia="bg-BG"/>
              </w:rPr>
            </w:pPr>
            <w:r w:rsidRPr="003C4AB6">
              <w:rPr>
                <w:rFonts w:eastAsia="Times New Roman" w:cstheme="minorHAnsi"/>
                <w:sz w:val="24"/>
                <w:szCs w:val="24"/>
                <w:lang w:val="en-US" w:eastAsia="pl-PL"/>
              </w:rPr>
              <w:t>1</w:t>
            </w:r>
            <w:r w:rsidRPr="003C4AB6">
              <w:rPr>
                <w:rFonts w:eastAsia="Times New Roman" w:cstheme="minorHAnsi"/>
                <w:sz w:val="24"/>
                <w:szCs w:val="24"/>
                <w:lang w:eastAsia="pl-PL"/>
              </w:rPr>
              <w:t>. Опит на екипа на кандидата в изпълнението на сходни дейности</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center"/>
              <w:rPr>
                <w:rFonts w:eastAsia="Times New Roman" w:cstheme="minorHAnsi"/>
                <w:sz w:val="24"/>
                <w:szCs w:val="24"/>
                <w:lang w:eastAsia="bg-BG"/>
              </w:rPr>
            </w:pPr>
            <w:r w:rsidRPr="003C4AB6">
              <w:rPr>
                <w:rFonts w:eastAsia="Times New Roman" w:cstheme="minorHAnsi"/>
                <w:sz w:val="24"/>
                <w:szCs w:val="24"/>
                <w:lang w:eastAsia="pl-PL"/>
              </w:rPr>
              <w:t>10</w:t>
            </w:r>
          </w:p>
        </w:tc>
      </w:tr>
      <w:tr w:rsidR="00967661"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both"/>
              <w:rPr>
                <w:rFonts w:eastAsia="Times New Roman" w:cstheme="minorHAnsi"/>
                <w:sz w:val="24"/>
                <w:szCs w:val="24"/>
                <w:lang w:eastAsia="bg-BG"/>
              </w:rPr>
            </w:pPr>
            <w:r w:rsidRPr="003C4AB6">
              <w:rPr>
                <w:rFonts w:cstheme="minorHAnsi"/>
                <w:sz w:val="24"/>
                <w:szCs w:val="24"/>
                <w:lang w:val="en-US"/>
              </w:rPr>
              <w:t>2</w:t>
            </w:r>
            <w:r w:rsidRPr="003C4AB6">
              <w:rPr>
                <w:rFonts w:cstheme="minorHAnsi"/>
                <w:sz w:val="24"/>
                <w:szCs w:val="24"/>
              </w:rPr>
              <w:t>. Образователно-квалификационно ниво на екипа на кандидата</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center"/>
              <w:rPr>
                <w:rFonts w:eastAsia="Times New Roman" w:cstheme="minorHAnsi"/>
                <w:sz w:val="24"/>
                <w:szCs w:val="24"/>
                <w:lang w:val="en-US" w:eastAsia="bg-BG"/>
              </w:rPr>
            </w:pPr>
            <w:r w:rsidRPr="003C4AB6">
              <w:rPr>
                <w:rFonts w:eastAsia="Times New Roman" w:cstheme="minorHAnsi"/>
                <w:sz w:val="24"/>
                <w:szCs w:val="24"/>
                <w:lang w:val="en-US" w:eastAsia="pl-PL"/>
              </w:rPr>
              <w:t>6</w:t>
            </w:r>
          </w:p>
        </w:tc>
      </w:tr>
      <w:tr w:rsidR="00967661"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both"/>
              <w:rPr>
                <w:rFonts w:eastAsia="Times New Roman" w:cstheme="minorHAnsi"/>
                <w:sz w:val="24"/>
                <w:szCs w:val="24"/>
                <w:lang w:eastAsia="bg-BG"/>
              </w:rPr>
            </w:pPr>
            <w:r w:rsidRPr="003C4AB6">
              <w:rPr>
                <w:rFonts w:eastAsia="Times New Roman" w:cstheme="minorHAnsi"/>
                <w:sz w:val="24"/>
                <w:szCs w:val="24"/>
                <w:lang w:val="en-US" w:eastAsia="pl-PL"/>
              </w:rPr>
              <w:t>3</w:t>
            </w:r>
            <w:r w:rsidRPr="003C4AB6">
              <w:rPr>
                <w:rFonts w:eastAsia="Times New Roman" w:cstheme="minorHAnsi"/>
                <w:sz w:val="24"/>
                <w:szCs w:val="24"/>
                <w:lang w:eastAsia="pl-PL"/>
              </w:rPr>
              <w:t xml:space="preserve">. Придобити права по интелектуална собственост от кандидата, управителя и/или </w:t>
            </w:r>
            <w:proofErr w:type="spellStart"/>
            <w:r w:rsidRPr="003C4AB6">
              <w:rPr>
                <w:rFonts w:eastAsia="Times New Roman" w:cstheme="minorHAnsi"/>
                <w:sz w:val="24"/>
                <w:szCs w:val="24"/>
                <w:lang w:eastAsia="pl-PL"/>
              </w:rPr>
              <w:t>съдружниците</w:t>
            </w:r>
            <w:proofErr w:type="spellEnd"/>
            <w:r w:rsidRPr="003C4AB6">
              <w:rPr>
                <w:rFonts w:eastAsia="Times New Roman" w:cstheme="minorHAnsi"/>
                <w:sz w:val="24"/>
                <w:szCs w:val="24"/>
                <w:lang w:eastAsia="pl-PL"/>
              </w:rPr>
              <w:t xml:space="preserve"> </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center"/>
              <w:rPr>
                <w:rFonts w:eastAsia="Times New Roman" w:cstheme="minorHAnsi"/>
                <w:sz w:val="24"/>
                <w:szCs w:val="24"/>
                <w:lang w:eastAsia="bg-BG"/>
              </w:rPr>
            </w:pPr>
            <w:r w:rsidRPr="003C4AB6">
              <w:rPr>
                <w:rFonts w:eastAsia="Times New Roman" w:cstheme="minorHAnsi"/>
                <w:sz w:val="24"/>
                <w:szCs w:val="24"/>
                <w:lang w:eastAsia="pl-PL"/>
              </w:rPr>
              <w:t>6</w:t>
            </w:r>
          </w:p>
        </w:tc>
      </w:tr>
      <w:tr w:rsidR="00967661" w:rsidRPr="003C4AB6" w:rsidTr="001B45BD">
        <w:tc>
          <w:tcPr>
            <w:tcW w:w="4232"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both"/>
              <w:rPr>
                <w:rFonts w:eastAsia="Times New Roman" w:cstheme="minorHAnsi"/>
                <w:b/>
                <w:bCs/>
                <w:sz w:val="24"/>
                <w:szCs w:val="24"/>
                <w:lang w:eastAsia="pl-PL"/>
              </w:rPr>
            </w:pPr>
            <w:r w:rsidRPr="003C4AB6">
              <w:rPr>
                <w:rFonts w:eastAsia="Times New Roman" w:cstheme="minorHAnsi"/>
                <w:sz w:val="24"/>
                <w:szCs w:val="24"/>
                <w:lang w:val="en-US" w:eastAsia="pl-PL"/>
              </w:rPr>
              <w:t>4</w:t>
            </w:r>
            <w:r w:rsidRPr="003C4AB6">
              <w:rPr>
                <w:rFonts w:eastAsia="Times New Roman" w:cstheme="minorHAnsi"/>
                <w:sz w:val="24"/>
                <w:szCs w:val="24"/>
                <w:lang w:eastAsia="pl-PL"/>
              </w:rPr>
              <w:t>. Начин на разработване на иновацията (от кандидата и/или чрез използване на външни услуги)</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967661" w:rsidRPr="003C4AB6" w:rsidRDefault="00967661" w:rsidP="001B45BD">
            <w:pPr>
              <w:spacing w:before="60" w:after="60"/>
              <w:jc w:val="center"/>
              <w:rPr>
                <w:rFonts w:eastAsia="Times New Roman" w:cstheme="minorHAnsi"/>
                <w:bCs/>
                <w:sz w:val="24"/>
                <w:szCs w:val="24"/>
                <w:lang w:val="en-US" w:eastAsia="pl-PL"/>
              </w:rPr>
            </w:pPr>
            <w:r w:rsidRPr="003C4AB6">
              <w:rPr>
                <w:rFonts w:eastAsia="Times New Roman" w:cstheme="minorHAnsi"/>
                <w:bCs/>
                <w:sz w:val="24"/>
                <w:szCs w:val="24"/>
                <w:lang w:val="en-US" w:eastAsia="pl-PL"/>
              </w:rPr>
              <w:t>5</w:t>
            </w:r>
          </w:p>
        </w:tc>
      </w:tr>
      <w:tr w:rsidR="00967661"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both"/>
              <w:rPr>
                <w:rFonts w:eastAsia="Times New Roman" w:cstheme="minorHAnsi"/>
                <w:sz w:val="24"/>
                <w:szCs w:val="24"/>
                <w:lang w:eastAsia="bg-BG"/>
              </w:rPr>
            </w:pPr>
            <w:r w:rsidRPr="003C4AB6">
              <w:rPr>
                <w:rFonts w:cstheme="minorHAnsi"/>
                <w:sz w:val="24"/>
                <w:szCs w:val="24"/>
              </w:rPr>
              <w:t>5. Степен на техническа готовност за разработване на иновацията</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967661" w:rsidRPr="003C4AB6" w:rsidRDefault="00967661" w:rsidP="001B45BD">
            <w:pPr>
              <w:spacing w:before="60" w:after="60"/>
              <w:jc w:val="center"/>
              <w:rPr>
                <w:rFonts w:eastAsia="Times New Roman" w:cstheme="minorHAnsi"/>
                <w:sz w:val="24"/>
                <w:szCs w:val="24"/>
                <w:lang w:eastAsia="bg-BG"/>
              </w:rPr>
            </w:pPr>
            <w:r w:rsidRPr="003C4AB6">
              <w:rPr>
                <w:rFonts w:cstheme="minorHAnsi"/>
                <w:bCs/>
                <w:sz w:val="24"/>
                <w:szCs w:val="24"/>
              </w:rPr>
              <w:t>6</w:t>
            </w:r>
          </w:p>
        </w:tc>
      </w:tr>
      <w:tr w:rsidR="002757F7"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D9D9D9"/>
          </w:tcPr>
          <w:p w:rsidR="002757F7" w:rsidRPr="003C4AB6" w:rsidRDefault="002757F7" w:rsidP="001B45BD">
            <w:pPr>
              <w:spacing w:before="60" w:after="60"/>
              <w:jc w:val="both"/>
              <w:rPr>
                <w:rFonts w:eastAsia="Times New Roman" w:cstheme="minorHAnsi"/>
                <w:sz w:val="24"/>
                <w:szCs w:val="24"/>
                <w:lang w:eastAsia="pl-PL"/>
              </w:rPr>
            </w:pPr>
            <w:r w:rsidRPr="003C4AB6">
              <w:rPr>
                <w:rFonts w:eastAsia="Times New Roman" w:cstheme="minorHAnsi"/>
                <w:b/>
                <w:sz w:val="24"/>
                <w:szCs w:val="24"/>
                <w:lang w:val="en-US" w:eastAsia="pl-PL"/>
              </w:rPr>
              <w:t>III</w:t>
            </w:r>
            <w:r w:rsidRPr="003C4AB6">
              <w:rPr>
                <w:rFonts w:eastAsia="Times New Roman" w:cstheme="minorHAnsi"/>
                <w:b/>
                <w:sz w:val="24"/>
                <w:szCs w:val="24"/>
                <w:lang w:eastAsia="pl-PL"/>
              </w:rPr>
              <w:t>.</w:t>
            </w:r>
            <w:r w:rsidRPr="003C4AB6" w:rsidDel="001948BC">
              <w:rPr>
                <w:rFonts w:eastAsia="Times New Roman" w:cstheme="minorHAnsi"/>
                <w:b/>
                <w:sz w:val="24"/>
                <w:szCs w:val="24"/>
                <w:lang w:eastAsia="pl-PL"/>
              </w:rPr>
              <w:t xml:space="preserve"> </w:t>
            </w:r>
            <w:proofErr w:type="spellStart"/>
            <w:r w:rsidRPr="003C4AB6">
              <w:rPr>
                <w:rFonts w:eastAsia="Times New Roman" w:cstheme="minorHAnsi"/>
                <w:b/>
                <w:sz w:val="24"/>
                <w:szCs w:val="24"/>
                <w:lang w:eastAsia="pl-PL"/>
              </w:rPr>
              <w:t>Приоритизиране</w:t>
            </w:r>
            <w:proofErr w:type="spellEnd"/>
            <w:r w:rsidRPr="003C4AB6">
              <w:rPr>
                <w:rFonts w:eastAsia="Times New Roman" w:cstheme="minorHAnsi"/>
                <w:b/>
                <w:sz w:val="24"/>
                <w:szCs w:val="24"/>
                <w:lang w:eastAsia="pl-PL"/>
              </w:rPr>
              <w:t xml:space="preserve"> на проекти </w:t>
            </w:r>
          </w:p>
        </w:tc>
        <w:tc>
          <w:tcPr>
            <w:tcW w:w="768" w:type="pct"/>
            <w:tcBorders>
              <w:top w:val="single" w:sz="4" w:space="0" w:color="auto"/>
              <w:left w:val="single" w:sz="4" w:space="0" w:color="auto"/>
              <w:bottom w:val="single" w:sz="4" w:space="0" w:color="auto"/>
              <w:right w:val="single" w:sz="4" w:space="0" w:color="auto"/>
            </w:tcBorders>
            <w:shd w:val="clear" w:color="auto" w:fill="D9D9D9"/>
          </w:tcPr>
          <w:p w:rsidR="002757F7" w:rsidRPr="003C4AB6" w:rsidRDefault="002757F7" w:rsidP="001B45BD">
            <w:pPr>
              <w:spacing w:before="60" w:after="60"/>
              <w:jc w:val="center"/>
              <w:rPr>
                <w:rFonts w:eastAsia="Times New Roman" w:cstheme="minorHAnsi"/>
                <w:sz w:val="24"/>
                <w:szCs w:val="24"/>
                <w:lang w:val="en-US" w:eastAsia="pl-PL"/>
              </w:rPr>
            </w:pPr>
            <w:r w:rsidRPr="003C4AB6">
              <w:rPr>
                <w:rFonts w:eastAsia="Times New Roman" w:cstheme="minorHAnsi"/>
                <w:b/>
                <w:sz w:val="24"/>
                <w:szCs w:val="24"/>
                <w:lang w:eastAsia="pl-PL"/>
              </w:rPr>
              <w:t>1</w:t>
            </w:r>
            <w:r w:rsidRPr="003C4AB6">
              <w:rPr>
                <w:rFonts w:eastAsia="Times New Roman" w:cstheme="minorHAnsi"/>
                <w:b/>
                <w:sz w:val="24"/>
                <w:szCs w:val="24"/>
                <w:lang w:val="en-US" w:eastAsia="pl-PL"/>
              </w:rPr>
              <w:t>4</w:t>
            </w:r>
          </w:p>
        </w:tc>
      </w:tr>
      <w:tr w:rsidR="002757F7"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t>1.  Регионална специализация съгласно ИСИС</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center"/>
              <w:rPr>
                <w:rFonts w:eastAsia="Times New Roman" w:cstheme="minorHAnsi"/>
                <w:sz w:val="24"/>
                <w:szCs w:val="24"/>
                <w:lang w:val="en-US" w:eastAsia="pl-PL"/>
              </w:rPr>
            </w:pPr>
            <w:r w:rsidRPr="003C4AB6">
              <w:rPr>
                <w:rFonts w:eastAsia="Times New Roman" w:cstheme="minorHAnsi"/>
                <w:sz w:val="24"/>
                <w:szCs w:val="24"/>
                <w:lang w:val="en-US" w:eastAsia="pl-PL"/>
              </w:rPr>
              <w:t>4</w:t>
            </w:r>
          </w:p>
        </w:tc>
      </w:tr>
      <w:tr w:rsidR="002757F7"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t>2.</w:t>
            </w:r>
            <w:r w:rsidR="008878D3" w:rsidRPr="003C4AB6">
              <w:rPr>
                <w:rFonts w:eastAsia="Times New Roman" w:cstheme="minorHAnsi"/>
                <w:sz w:val="24"/>
                <w:szCs w:val="24"/>
                <w:lang w:eastAsia="pl-PL"/>
              </w:rPr>
              <w:t xml:space="preserve"> </w:t>
            </w:r>
            <w:r w:rsidRPr="003C4AB6">
              <w:rPr>
                <w:rFonts w:eastAsia="Times New Roman" w:cstheme="minorHAnsi"/>
                <w:sz w:val="24"/>
                <w:szCs w:val="24"/>
                <w:lang w:eastAsia="pl-PL"/>
              </w:rPr>
              <w:t xml:space="preserve">Регионална </w:t>
            </w:r>
            <w:proofErr w:type="spellStart"/>
            <w:r w:rsidRPr="003C4AB6">
              <w:rPr>
                <w:rFonts w:eastAsia="Times New Roman" w:cstheme="minorHAnsi"/>
                <w:sz w:val="24"/>
                <w:szCs w:val="24"/>
                <w:lang w:eastAsia="pl-PL"/>
              </w:rPr>
              <w:t>приоритизация</w:t>
            </w:r>
            <w:proofErr w:type="spellEnd"/>
            <w:r w:rsidRPr="003C4AB6">
              <w:rPr>
                <w:rFonts w:eastAsia="Times New Roman" w:cstheme="minorHAnsi"/>
                <w:sz w:val="24"/>
                <w:szCs w:val="24"/>
                <w:lang w:eastAsia="pl-PL"/>
              </w:rPr>
              <w:t xml:space="preserve"> за проекти, изпълнявани на територията на СЗР</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center"/>
              <w:rPr>
                <w:rFonts w:eastAsia="Times New Roman" w:cstheme="minorHAnsi"/>
                <w:sz w:val="24"/>
                <w:szCs w:val="24"/>
                <w:lang w:val="en-US" w:eastAsia="pl-PL"/>
              </w:rPr>
            </w:pPr>
            <w:r w:rsidRPr="003C4AB6">
              <w:rPr>
                <w:rFonts w:eastAsia="Times New Roman" w:cstheme="minorHAnsi"/>
                <w:sz w:val="24"/>
                <w:szCs w:val="24"/>
                <w:lang w:val="en-US" w:eastAsia="pl-PL"/>
              </w:rPr>
              <w:t>4</w:t>
            </w:r>
          </w:p>
        </w:tc>
      </w:tr>
      <w:tr w:rsidR="002757F7"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2757F7">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lastRenderedPageBreak/>
              <w:t>3. Участие на членове на екипа на кандидата в Рамковите програми</w:t>
            </w:r>
            <w:r w:rsidRPr="003C4AB6">
              <w:rPr>
                <w:rFonts w:eastAsia="Times New Roman" w:cstheme="minorHAnsi"/>
                <w:sz w:val="24"/>
                <w:szCs w:val="24"/>
                <w:lang w:val="en-US" w:eastAsia="pl-PL"/>
              </w:rPr>
              <w:t xml:space="preserve"> </w:t>
            </w:r>
            <w:r w:rsidRPr="003C4AB6">
              <w:rPr>
                <w:rFonts w:eastAsia="Times New Roman" w:cstheme="minorHAnsi"/>
                <w:sz w:val="24"/>
                <w:szCs w:val="24"/>
                <w:lang w:eastAsia="pl-PL"/>
              </w:rPr>
              <w:t xml:space="preserve">на ЕС  </w:t>
            </w: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center"/>
              <w:rPr>
                <w:rFonts w:eastAsia="Times New Roman" w:cstheme="minorHAnsi"/>
                <w:sz w:val="24"/>
                <w:szCs w:val="24"/>
                <w:lang w:val="en-US" w:eastAsia="pl-PL"/>
              </w:rPr>
            </w:pPr>
            <w:r w:rsidRPr="003C4AB6">
              <w:rPr>
                <w:rFonts w:eastAsia="Times New Roman" w:cstheme="minorHAnsi"/>
                <w:sz w:val="24"/>
                <w:szCs w:val="24"/>
                <w:lang w:val="en-US" w:eastAsia="pl-PL"/>
              </w:rPr>
              <w:t>3</w:t>
            </w:r>
          </w:p>
        </w:tc>
      </w:tr>
      <w:tr w:rsidR="002757F7"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2757F7">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t xml:space="preserve">4. Подкрепа за </w:t>
            </w:r>
            <w:proofErr w:type="spellStart"/>
            <w:r w:rsidRPr="003C4AB6">
              <w:rPr>
                <w:rFonts w:eastAsia="Times New Roman" w:cstheme="minorHAnsi"/>
                <w:sz w:val="24"/>
                <w:szCs w:val="24"/>
                <w:lang w:eastAsia="pl-PL"/>
              </w:rPr>
              <w:t>еко-иновации</w:t>
            </w:r>
            <w:proofErr w:type="spellEnd"/>
          </w:p>
        </w:tc>
        <w:tc>
          <w:tcPr>
            <w:tcW w:w="768" w:type="pct"/>
            <w:tcBorders>
              <w:top w:val="single" w:sz="4" w:space="0" w:color="auto"/>
              <w:left w:val="single" w:sz="4" w:space="0" w:color="auto"/>
              <w:bottom w:val="single" w:sz="4" w:space="0" w:color="auto"/>
              <w:right w:val="single" w:sz="4" w:space="0" w:color="auto"/>
            </w:tcBorders>
            <w:shd w:val="clear" w:color="auto" w:fill="auto"/>
          </w:tcPr>
          <w:p w:rsidR="002757F7" w:rsidRPr="003C4AB6" w:rsidRDefault="002757F7" w:rsidP="001B45BD">
            <w:pPr>
              <w:spacing w:before="60" w:after="60"/>
              <w:jc w:val="center"/>
              <w:rPr>
                <w:rFonts w:eastAsia="Times New Roman" w:cstheme="minorHAnsi"/>
                <w:sz w:val="24"/>
                <w:szCs w:val="24"/>
                <w:lang w:val="en-US" w:eastAsia="pl-PL"/>
              </w:rPr>
            </w:pPr>
            <w:r w:rsidRPr="003C4AB6">
              <w:rPr>
                <w:rFonts w:eastAsia="Times New Roman" w:cstheme="minorHAnsi"/>
                <w:sz w:val="24"/>
                <w:szCs w:val="24"/>
                <w:lang w:val="en-US" w:eastAsia="pl-PL"/>
              </w:rPr>
              <w:t>3</w:t>
            </w:r>
          </w:p>
        </w:tc>
      </w:tr>
      <w:tr w:rsidR="00A01725" w:rsidRPr="003C4AB6" w:rsidTr="0094661D">
        <w:trPr>
          <w:trHeight w:val="225"/>
        </w:trPr>
        <w:tc>
          <w:tcPr>
            <w:tcW w:w="4232" w:type="pct"/>
            <w:tcBorders>
              <w:top w:val="single" w:sz="4" w:space="0" w:color="auto"/>
              <w:left w:val="single" w:sz="4" w:space="0" w:color="auto"/>
              <w:bottom w:val="single" w:sz="4" w:space="0" w:color="auto"/>
              <w:right w:val="single" w:sz="4" w:space="0" w:color="auto"/>
            </w:tcBorders>
            <w:shd w:val="clear" w:color="auto" w:fill="D9D9D9"/>
          </w:tcPr>
          <w:p w:rsidR="00A01725" w:rsidRPr="003C4AB6" w:rsidRDefault="00A01725" w:rsidP="001B45BD">
            <w:pPr>
              <w:spacing w:before="60" w:after="60"/>
              <w:jc w:val="both"/>
              <w:rPr>
                <w:rFonts w:eastAsia="Times New Roman" w:cstheme="minorHAnsi"/>
                <w:sz w:val="24"/>
                <w:szCs w:val="24"/>
                <w:lang w:eastAsia="pl-PL"/>
              </w:rPr>
            </w:pPr>
            <w:r w:rsidRPr="003C4AB6">
              <w:rPr>
                <w:rFonts w:eastAsia="Times New Roman" w:cstheme="minorHAnsi"/>
                <w:b/>
                <w:sz w:val="24"/>
                <w:szCs w:val="24"/>
                <w:lang w:val="en-US" w:eastAsia="pl-PL"/>
              </w:rPr>
              <w:t>I</w:t>
            </w:r>
            <w:r w:rsidRPr="003C4AB6">
              <w:rPr>
                <w:rFonts w:eastAsia="Times New Roman" w:cstheme="minorHAnsi"/>
                <w:b/>
                <w:sz w:val="24"/>
                <w:szCs w:val="24"/>
                <w:lang w:eastAsia="pl-PL"/>
              </w:rPr>
              <w:t>V.</w:t>
            </w:r>
            <w:r w:rsidRPr="003C4AB6" w:rsidDel="001948BC">
              <w:rPr>
                <w:rFonts w:eastAsia="Times New Roman" w:cstheme="minorHAnsi"/>
                <w:b/>
                <w:sz w:val="24"/>
                <w:szCs w:val="24"/>
                <w:lang w:eastAsia="pl-PL"/>
              </w:rPr>
              <w:t xml:space="preserve"> </w:t>
            </w:r>
            <w:r w:rsidRPr="003C4AB6">
              <w:rPr>
                <w:rFonts w:eastAsia="Times New Roman" w:cstheme="minorHAnsi"/>
                <w:b/>
                <w:sz w:val="24"/>
                <w:szCs w:val="24"/>
                <w:lang w:val="pl-PL" w:eastAsia="pl-PL"/>
              </w:rPr>
              <w:t>Реалистичност на разходите</w:t>
            </w:r>
            <w:r w:rsidRPr="003C4AB6">
              <w:rPr>
                <w:rFonts w:eastAsia="Times New Roman" w:cstheme="minorHAnsi"/>
                <w:b/>
                <w:sz w:val="24"/>
                <w:szCs w:val="24"/>
                <w:lang w:val="en-US" w:eastAsia="pl-PL"/>
              </w:rPr>
              <w:t xml:space="preserve"> </w:t>
            </w:r>
            <w:r w:rsidRPr="003C4AB6">
              <w:rPr>
                <w:rFonts w:eastAsia="Times New Roman" w:cstheme="minorHAnsi"/>
                <w:b/>
                <w:sz w:val="24"/>
                <w:szCs w:val="24"/>
                <w:lang w:eastAsia="pl-PL"/>
              </w:rPr>
              <w:t>и плана за действие</w:t>
            </w:r>
            <w:r w:rsidRPr="003C4AB6">
              <w:rPr>
                <w:rFonts w:eastAsia="Times New Roman" w:cstheme="minorHAnsi"/>
                <w:b/>
                <w:sz w:val="24"/>
                <w:szCs w:val="24"/>
                <w:lang w:val="pl-PL" w:eastAsia="pl-PL"/>
              </w:rPr>
              <w:t xml:space="preserve"> по проекта</w:t>
            </w:r>
          </w:p>
        </w:tc>
        <w:tc>
          <w:tcPr>
            <w:tcW w:w="768" w:type="pct"/>
            <w:tcBorders>
              <w:top w:val="single" w:sz="4" w:space="0" w:color="auto"/>
              <w:left w:val="single" w:sz="4" w:space="0" w:color="auto"/>
              <w:bottom w:val="single" w:sz="4" w:space="0" w:color="auto"/>
              <w:right w:val="single" w:sz="4" w:space="0" w:color="auto"/>
            </w:tcBorders>
            <w:shd w:val="clear" w:color="auto" w:fill="D9D9D9"/>
          </w:tcPr>
          <w:p w:rsidR="00A01725" w:rsidRPr="003C4AB6" w:rsidRDefault="00A01725" w:rsidP="001B45BD">
            <w:pPr>
              <w:spacing w:before="60" w:after="60"/>
              <w:jc w:val="center"/>
              <w:rPr>
                <w:rFonts w:eastAsia="Times New Roman" w:cstheme="minorHAnsi"/>
                <w:sz w:val="24"/>
                <w:szCs w:val="24"/>
                <w:lang w:eastAsia="pl-PL"/>
              </w:rPr>
            </w:pPr>
            <w:r w:rsidRPr="003C4AB6">
              <w:rPr>
                <w:rFonts w:eastAsia="Times New Roman" w:cstheme="minorHAnsi"/>
                <w:b/>
                <w:sz w:val="24"/>
                <w:szCs w:val="24"/>
                <w:lang w:val="en-US" w:eastAsia="pl-PL"/>
              </w:rPr>
              <w:t>6</w:t>
            </w:r>
          </w:p>
        </w:tc>
      </w:tr>
      <w:tr w:rsidR="00A01725" w:rsidRPr="003C4AB6" w:rsidTr="0094661D">
        <w:trPr>
          <w:trHeight w:val="225"/>
        </w:trPr>
        <w:tc>
          <w:tcPr>
            <w:tcW w:w="4232" w:type="pct"/>
            <w:tcBorders>
              <w:top w:val="single" w:sz="4" w:space="0" w:color="auto"/>
              <w:left w:val="single" w:sz="4" w:space="0" w:color="auto"/>
              <w:bottom w:val="single" w:sz="4" w:space="0" w:color="auto"/>
              <w:right w:val="single" w:sz="4" w:space="0" w:color="auto"/>
            </w:tcBorders>
            <w:shd w:val="clear" w:color="auto" w:fill="FFFFFF"/>
          </w:tcPr>
          <w:p w:rsidR="00A01725" w:rsidRPr="003C4AB6" w:rsidRDefault="00A01725" w:rsidP="001B45BD">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t>1. Реалистичност на разходите по проекта</w:t>
            </w:r>
          </w:p>
        </w:tc>
        <w:tc>
          <w:tcPr>
            <w:tcW w:w="768" w:type="pct"/>
            <w:tcBorders>
              <w:top w:val="single" w:sz="4" w:space="0" w:color="auto"/>
              <w:left w:val="single" w:sz="4" w:space="0" w:color="auto"/>
              <w:bottom w:val="single" w:sz="4" w:space="0" w:color="auto"/>
              <w:right w:val="single" w:sz="4" w:space="0" w:color="auto"/>
            </w:tcBorders>
            <w:shd w:val="clear" w:color="auto" w:fill="FFFFFF"/>
          </w:tcPr>
          <w:p w:rsidR="00A01725" w:rsidRPr="003C4AB6" w:rsidRDefault="00A01725" w:rsidP="001B45BD">
            <w:pPr>
              <w:spacing w:before="60" w:after="60"/>
              <w:jc w:val="center"/>
              <w:rPr>
                <w:rFonts w:eastAsia="Times New Roman" w:cstheme="minorHAnsi"/>
                <w:sz w:val="24"/>
                <w:szCs w:val="24"/>
                <w:lang w:eastAsia="pl-PL"/>
              </w:rPr>
            </w:pPr>
            <w:r w:rsidRPr="003C4AB6">
              <w:rPr>
                <w:rFonts w:eastAsia="Times New Roman" w:cstheme="minorHAnsi"/>
                <w:sz w:val="24"/>
                <w:szCs w:val="24"/>
                <w:lang w:val="en-US" w:eastAsia="pl-PL"/>
              </w:rPr>
              <w:t>4</w:t>
            </w:r>
          </w:p>
        </w:tc>
      </w:tr>
      <w:tr w:rsidR="00A01725" w:rsidRPr="003C4AB6" w:rsidTr="0094661D">
        <w:trPr>
          <w:trHeight w:val="225"/>
        </w:trPr>
        <w:tc>
          <w:tcPr>
            <w:tcW w:w="4232" w:type="pct"/>
            <w:tcBorders>
              <w:top w:val="single" w:sz="4" w:space="0" w:color="auto"/>
              <w:left w:val="single" w:sz="4" w:space="0" w:color="auto"/>
              <w:bottom w:val="single" w:sz="4" w:space="0" w:color="auto"/>
              <w:right w:val="single" w:sz="4" w:space="0" w:color="auto"/>
            </w:tcBorders>
            <w:shd w:val="clear" w:color="auto" w:fill="FFFFFF"/>
          </w:tcPr>
          <w:p w:rsidR="00A01725" w:rsidRPr="003C4AB6" w:rsidRDefault="00A01725" w:rsidP="001B45BD">
            <w:pPr>
              <w:spacing w:before="60" w:after="60"/>
              <w:jc w:val="both"/>
              <w:rPr>
                <w:rFonts w:eastAsia="Times New Roman" w:cstheme="minorHAnsi"/>
                <w:sz w:val="24"/>
                <w:szCs w:val="24"/>
                <w:lang w:eastAsia="pl-PL"/>
              </w:rPr>
            </w:pPr>
            <w:r w:rsidRPr="003C4AB6">
              <w:rPr>
                <w:rFonts w:eastAsia="Times New Roman" w:cstheme="minorHAnsi"/>
                <w:sz w:val="24"/>
                <w:szCs w:val="24"/>
                <w:lang w:eastAsia="pl-PL"/>
              </w:rPr>
              <w:t>2. Реалистичност на плана за действие по проекта</w:t>
            </w:r>
          </w:p>
        </w:tc>
        <w:tc>
          <w:tcPr>
            <w:tcW w:w="768" w:type="pct"/>
            <w:tcBorders>
              <w:top w:val="single" w:sz="4" w:space="0" w:color="auto"/>
              <w:left w:val="single" w:sz="4" w:space="0" w:color="auto"/>
              <w:bottom w:val="single" w:sz="4" w:space="0" w:color="auto"/>
              <w:right w:val="single" w:sz="4" w:space="0" w:color="auto"/>
            </w:tcBorders>
            <w:shd w:val="clear" w:color="auto" w:fill="FFFFFF"/>
          </w:tcPr>
          <w:p w:rsidR="00A01725" w:rsidRPr="003C4AB6" w:rsidDel="00655209" w:rsidRDefault="00A01725" w:rsidP="001B45BD">
            <w:pPr>
              <w:spacing w:before="60" w:after="60"/>
              <w:jc w:val="center"/>
              <w:rPr>
                <w:rFonts w:eastAsia="Times New Roman" w:cstheme="minorHAnsi"/>
                <w:sz w:val="24"/>
                <w:szCs w:val="24"/>
                <w:lang w:val="en-US" w:eastAsia="pl-PL"/>
              </w:rPr>
            </w:pPr>
            <w:r w:rsidRPr="003C4AB6">
              <w:rPr>
                <w:rFonts w:eastAsia="Times New Roman" w:cstheme="minorHAnsi"/>
                <w:sz w:val="24"/>
                <w:szCs w:val="24"/>
                <w:lang w:val="en-US" w:eastAsia="pl-PL"/>
              </w:rPr>
              <w:t>2</w:t>
            </w:r>
          </w:p>
        </w:tc>
      </w:tr>
      <w:tr w:rsidR="007D1229" w:rsidRPr="003C4AB6" w:rsidTr="0094661D">
        <w:tc>
          <w:tcPr>
            <w:tcW w:w="4232" w:type="pct"/>
            <w:tcBorders>
              <w:top w:val="single" w:sz="4" w:space="0" w:color="auto"/>
              <w:left w:val="single" w:sz="4" w:space="0" w:color="auto"/>
              <w:bottom w:val="single" w:sz="4" w:space="0" w:color="auto"/>
              <w:right w:val="single" w:sz="4" w:space="0" w:color="auto"/>
            </w:tcBorders>
            <w:shd w:val="clear" w:color="auto" w:fill="A6A6A6"/>
          </w:tcPr>
          <w:p w:rsidR="007D1229" w:rsidRPr="003C4AB6" w:rsidRDefault="00A01725" w:rsidP="0094661D">
            <w:pPr>
              <w:spacing w:before="60" w:after="60" w:line="240" w:lineRule="auto"/>
              <w:jc w:val="right"/>
              <w:rPr>
                <w:rFonts w:eastAsia="Times New Roman" w:cs="Calibri"/>
                <w:b/>
                <w:sz w:val="24"/>
                <w:szCs w:val="24"/>
                <w:lang w:eastAsia="bg-BG"/>
              </w:rPr>
            </w:pPr>
            <w:r w:rsidRPr="003C4AB6">
              <w:rPr>
                <w:rFonts w:eastAsia="Times New Roman" w:cs="Calibri"/>
                <w:b/>
                <w:sz w:val="24"/>
                <w:szCs w:val="24"/>
                <w:lang w:eastAsia="bg-BG"/>
              </w:rPr>
              <w:t>Максимален брой точки</w:t>
            </w:r>
          </w:p>
        </w:tc>
        <w:tc>
          <w:tcPr>
            <w:tcW w:w="768" w:type="pct"/>
            <w:tcBorders>
              <w:top w:val="single" w:sz="4" w:space="0" w:color="auto"/>
              <w:left w:val="single" w:sz="4" w:space="0" w:color="auto"/>
              <w:bottom w:val="single" w:sz="4" w:space="0" w:color="auto"/>
              <w:right w:val="single" w:sz="4" w:space="0" w:color="auto"/>
            </w:tcBorders>
            <w:shd w:val="clear" w:color="auto" w:fill="A6A6A6"/>
          </w:tcPr>
          <w:p w:rsidR="007D1229" w:rsidRPr="003C4AB6" w:rsidRDefault="00A01725" w:rsidP="0094661D">
            <w:pPr>
              <w:spacing w:before="60" w:after="60" w:line="240" w:lineRule="auto"/>
              <w:jc w:val="center"/>
              <w:rPr>
                <w:rFonts w:eastAsia="Times New Roman" w:cs="Calibri"/>
                <w:b/>
                <w:sz w:val="24"/>
                <w:szCs w:val="24"/>
                <w:lang w:eastAsia="pl-PL"/>
              </w:rPr>
            </w:pPr>
            <w:r w:rsidRPr="003C4AB6">
              <w:rPr>
                <w:rFonts w:eastAsia="Times New Roman" w:cs="Calibri"/>
                <w:b/>
                <w:sz w:val="24"/>
                <w:szCs w:val="24"/>
                <w:lang w:eastAsia="pl-PL"/>
              </w:rPr>
              <w:t>85</w:t>
            </w:r>
          </w:p>
        </w:tc>
      </w:tr>
    </w:tbl>
    <w:p w:rsidR="007D1229" w:rsidRPr="003C4AB6" w:rsidRDefault="007D1229" w:rsidP="00310A6E">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rsidR="00310A6E" w:rsidRPr="003C4AB6" w:rsidRDefault="00310A6E" w:rsidP="00310A6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Проектните</w:t>
      </w:r>
      <w:r w:rsidR="007E6B50" w:rsidRPr="003C4AB6">
        <w:rPr>
          <w:sz w:val="24"/>
          <w:szCs w:val="24"/>
        </w:rPr>
        <w:t xml:space="preserve"> предложения, получили минимум </w:t>
      </w:r>
      <w:r w:rsidR="002D6758" w:rsidRPr="003C4AB6">
        <w:rPr>
          <w:sz w:val="24"/>
          <w:szCs w:val="24"/>
        </w:rPr>
        <w:t>51</w:t>
      </w:r>
      <w:r w:rsidR="0046183F" w:rsidRPr="003C4AB6">
        <w:rPr>
          <w:sz w:val="24"/>
          <w:szCs w:val="24"/>
        </w:rPr>
        <w:t xml:space="preserve"> </w:t>
      </w:r>
      <w:r w:rsidRPr="003C4AB6">
        <w:rPr>
          <w:sz w:val="24"/>
          <w:szCs w:val="24"/>
        </w:rPr>
        <w:t>точки на етап „Техническа и финансова оценка”, се класират в низходящ ре</w:t>
      </w:r>
      <w:r w:rsidR="002D6758" w:rsidRPr="003C4AB6">
        <w:rPr>
          <w:sz w:val="24"/>
          <w:szCs w:val="24"/>
        </w:rPr>
        <w:t>д съобразно получената оценка</w:t>
      </w:r>
      <w:r w:rsidR="00EC21D9" w:rsidRPr="003C4AB6">
        <w:rPr>
          <w:sz w:val="24"/>
          <w:szCs w:val="24"/>
        </w:rPr>
        <w:t>. З</w:t>
      </w:r>
      <w:r w:rsidRPr="003C4AB6">
        <w:rPr>
          <w:sz w:val="24"/>
          <w:szCs w:val="24"/>
        </w:rPr>
        <w:t xml:space="preserve">а финансиране се предлагат всички или част от проектите по реда на класирането до покриване на </w:t>
      </w:r>
      <w:r w:rsidR="00E0025C" w:rsidRPr="003C4AB6">
        <w:rPr>
          <w:sz w:val="24"/>
          <w:szCs w:val="24"/>
        </w:rPr>
        <w:t xml:space="preserve">общия </w:t>
      </w:r>
      <w:r w:rsidRPr="003C4AB6">
        <w:rPr>
          <w:sz w:val="24"/>
          <w:szCs w:val="24"/>
        </w:rPr>
        <w:t xml:space="preserve">размер на бюджета </w:t>
      </w:r>
      <w:r w:rsidR="00E0025C" w:rsidRPr="003C4AB6">
        <w:rPr>
          <w:sz w:val="24"/>
          <w:szCs w:val="24"/>
        </w:rPr>
        <w:t>по процедурата</w:t>
      </w:r>
      <w:r w:rsidRPr="003C4AB6">
        <w:rPr>
          <w:sz w:val="24"/>
          <w:szCs w:val="24"/>
        </w:rPr>
        <w:t xml:space="preserve">. </w:t>
      </w:r>
    </w:p>
    <w:p w:rsidR="00B90C4E" w:rsidRPr="003C4AB6" w:rsidRDefault="00B90C4E" w:rsidP="00B90C4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В случай че </w:t>
      </w:r>
      <w:r w:rsidR="0061370E" w:rsidRPr="003C4AB6">
        <w:rPr>
          <w:sz w:val="24"/>
          <w:szCs w:val="24"/>
        </w:rPr>
        <w:t>дадено проектно</w:t>
      </w:r>
      <w:r w:rsidRPr="003C4AB6">
        <w:rPr>
          <w:sz w:val="24"/>
          <w:szCs w:val="24"/>
        </w:rPr>
        <w:t xml:space="preserve"> предложение </w:t>
      </w:r>
      <w:r w:rsidR="0061370E" w:rsidRPr="003C4AB6">
        <w:rPr>
          <w:sz w:val="24"/>
          <w:szCs w:val="24"/>
        </w:rPr>
        <w:t xml:space="preserve">получи „0“ точки по показател </w:t>
      </w:r>
      <w:r w:rsidR="00865D07" w:rsidRPr="003C4AB6">
        <w:rPr>
          <w:sz w:val="24"/>
          <w:szCs w:val="24"/>
        </w:rPr>
        <w:t>„Новост на разработваната иновация“ или по показател „</w:t>
      </w:r>
      <w:r w:rsidR="00A56B99" w:rsidRPr="003C4AB6">
        <w:rPr>
          <w:sz w:val="24"/>
          <w:szCs w:val="24"/>
        </w:rPr>
        <w:t>Реалистичност на разходите по проекта</w:t>
      </w:r>
      <w:r w:rsidR="00865D07" w:rsidRPr="003C4AB6">
        <w:rPr>
          <w:sz w:val="24"/>
          <w:szCs w:val="24"/>
        </w:rPr>
        <w:t xml:space="preserve">“ </w:t>
      </w:r>
      <w:r w:rsidRPr="003C4AB6">
        <w:rPr>
          <w:sz w:val="24"/>
          <w:szCs w:val="24"/>
        </w:rPr>
        <w:t>проектното предложение се отхвърля.</w:t>
      </w:r>
    </w:p>
    <w:p w:rsidR="005F11FF" w:rsidRDefault="00310A6E" w:rsidP="00310A6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За проектни предложения, които са получили </w:t>
      </w:r>
      <w:r w:rsidRPr="003C4AB6">
        <w:rPr>
          <w:sz w:val="24"/>
          <w:szCs w:val="24"/>
          <w:u w:val="single"/>
        </w:rPr>
        <w:t>еднакъв</w:t>
      </w:r>
      <w:r w:rsidRPr="003C4AB6">
        <w:rPr>
          <w:sz w:val="24"/>
          <w:szCs w:val="24"/>
        </w:rPr>
        <w:t xml:space="preserve"> средноаритметичен брой точки на етап „Техническа и финансова оценка“</w:t>
      </w:r>
      <w:r w:rsidR="009D6765" w:rsidRPr="003C4AB6">
        <w:rPr>
          <w:sz w:val="24"/>
          <w:szCs w:val="24"/>
        </w:rPr>
        <w:t>, класирането</w:t>
      </w:r>
      <w:r w:rsidRPr="003C4AB6">
        <w:rPr>
          <w:sz w:val="24"/>
          <w:szCs w:val="24"/>
        </w:rPr>
        <w:t xml:space="preserve"> ще се извърши </w:t>
      </w:r>
      <w:r w:rsidR="005F11FF">
        <w:rPr>
          <w:sz w:val="24"/>
          <w:szCs w:val="24"/>
        </w:rPr>
        <w:t xml:space="preserve">по следния начин: </w:t>
      </w:r>
    </w:p>
    <w:p w:rsidR="005F11FF" w:rsidRDefault="005F11FF" w:rsidP="0080405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5F11FF">
        <w:rPr>
          <w:rFonts w:ascii="Calibri" w:eastAsia="Calibri" w:hAnsi="Calibri" w:cs="Times New Roman"/>
          <w:sz w:val="24"/>
          <w:szCs w:val="24"/>
        </w:rPr>
        <w:t>Проектните предложения ще бъдат класирани съобразно получения брой точки по раздел „</w:t>
      </w:r>
      <w:r w:rsidR="00804054" w:rsidRPr="00CA2398">
        <w:rPr>
          <w:rFonts w:ascii="Calibri" w:eastAsia="Calibri" w:hAnsi="Calibri" w:cs="Times New Roman"/>
          <w:sz w:val="24"/>
          <w:szCs w:val="24"/>
        </w:rPr>
        <w:t>Иновативност и пазарна приложимост на разработваната иновация</w:t>
      </w:r>
      <w:r w:rsidRPr="005F11FF">
        <w:rPr>
          <w:rFonts w:ascii="Calibri" w:eastAsia="Calibri" w:hAnsi="Calibri" w:cs="Times New Roman"/>
          <w:sz w:val="24"/>
          <w:szCs w:val="24"/>
        </w:rPr>
        <w:t>“. В случай че проектните предложения имат равен брой точки по посочения раздел, същите ще бъдат класирани съобразно получения брой точки по раздел „</w:t>
      </w:r>
      <w:r w:rsidR="00804054" w:rsidRPr="00CA2398">
        <w:rPr>
          <w:rFonts w:ascii="Calibri" w:eastAsia="Calibri" w:hAnsi="Calibri" w:cs="Times New Roman"/>
          <w:sz w:val="24"/>
          <w:szCs w:val="24"/>
        </w:rPr>
        <w:t>Реалистичност на разходите и плана за действие по проекта</w:t>
      </w:r>
      <w:r w:rsidRPr="005F11FF">
        <w:rPr>
          <w:rFonts w:ascii="Calibri" w:eastAsia="Calibri" w:hAnsi="Calibri" w:cs="Times New Roman"/>
          <w:sz w:val="24"/>
          <w:szCs w:val="24"/>
        </w:rPr>
        <w:t>“. В случай че проектните предложения имат равен брой точки и по този раздел същите ще бъдат класирани съобразно получения брой точки по раздел „</w:t>
      </w:r>
      <w:r w:rsidR="00083CA0" w:rsidRPr="00083CA0">
        <w:rPr>
          <w:rFonts w:ascii="Calibri" w:eastAsia="Calibri" w:hAnsi="Calibri" w:cs="Times New Roman"/>
          <w:sz w:val="24"/>
          <w:szCs w:val="24"/>
        </w:rPr>
        <w:t>Иновативен капацитет на екипа на кандидата и степен на техническа готовност</w:t>
      </w:r>
      <w:r w:rsidRPr="005F11FF">
        <w:rPr>
          <w:rFonts w:ascii="Calibri" w:eastAsia="Calibri" w:hAnsi="Calibri" w:cs="Times New Roman"/>
          <w:sz w:val="24"/>
          <w:szCs w:val="24"/>
        </w:rPr>
        <w:t>“. В случай че проектните предложения имат равен брой точки и по този раздел</w:t>
      </w:r>
      <w:r w:rsidR="00083CA0">
        <w:rPr>
          <w:rFonts w:ascii="Calibri" w:eastAsia="Calibri" w:hAnsi="Calibri" w:cs="Times New Roman"/>
          <w:sz w:val="24"/>
          <w:szCs w:val="24"/>
        </w:rPr>
        <w:t>,</w:t>
      </w:r>
      <w:r w:rsidRPr="005F11FF">
        <w:rPr>
          <w:rFonts w:ascii="Calibri" w:eastAsia="Calibri" w:hAnsi="Calibri" w:cs="Times New Roman"/>
          <w:sz w:val="24"/>
          <w:szCs w:val="24"/>
        </w:rPr>
        <w:t xml:space="preserve"> същите ще бъдат класирани съобразно получения брой точки по раздел „</w:t>
      </w:r>
      <w:proofErr w:type="spellStart"/>
      <w:r w:rsidRPr="005F11FF">
        <w:rPr>
          <w:rFonts w:ascii="Calibri" w:eastAsia="Calibri" w:hAnsi="Calibri" w:cs="Times New Roman"/>
          <w:sz w:val="24"/>
          <w:szCs w:val="24"/>
        </w:rPr>
        <w:t>Приоритизиране</w:t>
      </w:r>
      <w:proofErr w:type="spellEnd"/>
      <w:r w:rsidRPr="005F11FF">
        <w:rPr>
          <w:rFonts w:ascii="Calibri" w:eastAsia="Calibri" w:hAnsi="Calibri" w:cs="Times New Roman"/>
          <w:sz w:val="24"/>
          <w:szCs w:val="24"/>
        </w:rPr>
        <w:t xml:space="preserve"> на проекти“.</w:t>
      </w:r>
    </w:p>
    <w:p w:rsidR="00E616DF" w:rsidRPr="003C4AB6" w:rsidRDefault="00D63A03" w:rsidP="00310A6E">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rFonts w:ascii="Calibri" w:eastAsia="Calibri" w:hAnsi="Calibri" w:cs="Times New Roman"/>
          <w:sz w:val="24"/>
          <w:szCs w:val="24"/>
        </w:rPr>
        <w:t>В случай че проектните предложения</w:t>
      </w:r>
      <w:r w:rsidR="00083CA0" w:rsidRPr="00083CA0">
        <w:rPr>
          <w:rFonts w:ascii="Calibri" w:eastAsia="Calibri" w:hAnsi="Calibri" w:cs="Times New Roman"/>
          <w:sz w:val="24"/>
          <w:szCs w:val="24"/>
        </w:rPr>
        <w:t xml:space="preserve"> имат равен брой точки на етап „Техническа и финансова оценка“</w:t>
      </w:r>
      <w:r>
        <w:rPr>
          <w:rFonts w:ascii="Calibri" w:eastAsia="Calibri" w:hAnsi="Calibri" w:cs="Times New Roman"/>
          <w:sz w:val="24"/>
          <w:szCs w:val="24"/>
        </w:rPr>
        <w:t xml:space="preserve"> </w:t>
      </w:r>
      <w:r w:rsidR="00083CA0" w:rsidRPr="00083CA0">
        <w:rPr>
          <w:rFonts w:ascii="Calibri" w:eastAsia="Calibri" w:hAnsi="Calibri" w:cs="Times New Roman"/>
          <w:sz w:val="24"/>
          <w:szCs w:val="24"/>
        </w:rPr>
        <w:t xml:space="preserve">и равен брой точки по гореизброените раздели, </w:t>
      </w:r>
      <w:r>
        <w:rPr>
          <w:rFonts w:ascii="Calibri" w:eastAsia="Calibri" w:hAnsi="Calibri" w:cs="Times New Roman"/>
          <w:sz w:val="24"/>
          <w:szCs w:val="24"/>
        </w:rPr>
        <w:t>те ще бъдат класирани</w:t>
      </w:r>
      <w:r w:rsidR="00083CA0" w:rsidRPr="00083CA0">
        <w:rPr>
          <w:rFonts w:ascii="Calibri" w:eastAsia="Calibri" w:hAnsi="Calibri" w:cs="Times New Roman"/>
          <w:sz w:val="24"/>
          <w:szCs w:val="24"/>
        </w:rPr>
        <w:t xml:space="preserve"> </w:t>
      </w:r>
      <w:r w:rsidR="004E0DED" w:rsidRPr="003C4AB6">
        <w:rPr>
          <w:sz w:val="24"/>
          <w:szCs w:val="24"/>
        </w:rPr>
        <w:t xml:space="preserve">съобразно получения брой точки по посочените по-долу </w:t>
      </w:r>
      <w:r w:rsidR="009F2F9A" w:rsidRPr="003C4AB6">
        <w:rPr>
          <w:sz w:val="24"/>
          <w:szCs w:val="24"/>
        </w:rPr>
        <w:t xml:space="preserve">показатели </w:t>
      </w:r>
      <w:r w:rsidR="004E0DED" w:rsidRPr="003C4AB6">
        <w:rPr>
          <w:sz w:val="24"/>
          <w:szCs w:val="24"/>
        </w:rPr>
        <w:t xml:space="preserve">при спазване на следната последователност: </w:t>
      </w:r>
    </w:p>
    <w:p w:rsidR="00E616DF" w:rsidRDefault="00A61195"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1/</w:t>
      </w:r>
      <w:r w:rsidR="00E616DF" w:rsidRPr="003C4AB6">
        <w:rPr>
          <w:sz w:val="24"/>
          <w:szCs w:val="24"/>
        </w:rPr>
        <w:t xml:space="preserve"> Новост на разработваната иновация</w:t>
      </w:r>
    </w:p>
    <w:p w:rsidR="009E4E7E" w:rsidRPr="009E4E7E" w:rsidRDefault="009E4E7E" w:rsidP="009E4E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9E4E7E">
        <w:rPr>
          <w:rFonts w:ascii="Calibri" w:eastAsia="Calibri" w:hAnsi="Calibri" w:cs="Times New Roman"/>
          <w:sz w:val="24"/>
          <w:szCs w:val="24"/>
        </w:rPr>
        <w:t>2/ Пазарна приложимост и жизнеспособност на разработваната иновация</w:t>
      </w:r>
    </w:p>
    <w:p w:rsidR="009E4E7E" w:rsidRPr="009E4E7E" w:rsidRDefault="009E4E7E" w:rsidP="009E4E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9E4E7E">
        <w:rPr>
          <w:rFonts w:ascii="Calibri" w:eastAsia="Calibri" w:hAnsi="Calibri" w:cs="Times New Roman"/>
          <w:sz w:val="24"/>
          <w:szCs w:val="24"/>
        </w:rPr>
        <w:t>3/ Реалистичност на разходите по проекта</w:t>
      </w:r>
    </w:p>
    <w:p w:rsidR="009E4E7E" w:rsidRPr="009E4E7E" w:rsidRDefault="009E4E7E" w:rsidP="009E4E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9E4E7E">
        <w:rPr>
          <w:rFonts w:ascii="Calibri" w:eastAsia="Calibri" w:hAnsi="Calibri" w:cs="Times New Roman"/>
          <w:sz w:val="24"/>
          <w:szCs w:val="24"/>
        </w:rPr>
        <w:t>4/ Реалистичност на плана за действие по проекта</w:t>
      </w:r>
    </w:p>
    <w:p w:rsidR="00665E72"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5</w:t>
      </w:r>
      <w:r w:rsidR="00A61195" w:rsidRPr="003C4AB6">
        <w:rPr>
          <w:sz w:val="24"/>
          <w:szCs w:val="24"/>
        </w:rPr>
        <w:t>/</w:t>
      </w:r>
      <w:r w:rsidR="00665E72" w:rsidRPr="003C4AB6">
        <w:rPr>
          <w:sz w:val="24"/>
          <w:szCs w:val="24"/>
        </w:rPr>
        <w:t xml:space="preserve"> Опит на екипа на кандидата в изпълнението на сходни дейности</w:t>
      </w:r>
    </w:p>
    <w:p w:rsidR="00665E72"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6</w:t>
      </w:r>
      <w:r w:rsidR="00A61195" w:rsidRPr="003C4AB6">
        <w:rPr>
          <w:sz w:val="24"/>
          <w:szCs w:val="24"/>
        </w:rPr>
        <w:t xml:space="preserve">/ </w:t>
      </w:r>
      <w:r w:rsidR="00665E72" w:rsidRPr="003C4AB6">
        <w:rPr>
          <w:sz w:val="24"/>
          <w:szCs w:val="24"/>
        </w:rPr>
        <w:t>Образователно-квалификационно ниво на екипа на кандидата</w:t>
      </w:r>
    </w:p>
    <w:p w:rsidR="00665E72"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lastRenderedPageBreak/>
        <w:t>7</w:t>
      </w:r>
      <w:r w:rsidR="00A61195" w:rsidRPr="003C4AB6">
        <w:rPr>
          <w:sz w:val="24"/>
          <w:szCs w:val="24"/>
        </w:rPr>
        <w:t>/</w:t>
      </w:r>
      <w:r w:rsidR="00665E72" w:rsidRPr="003C4AB6">
        <w:rPr>
          <w:sz w:val="24"/>
          <w:szCs w:val="24"/>
        </w:rPr>
        <w:t xml:space="preserve"> Начин на разработване на иновацията (от кандидата и/или чрез използване на външни услуги)</w:t>
      </w:r>
    </w:p>
    <w:p w:rsidR="00665E72"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8</w:t>
      </w:r>
      <w:r w:rsidR="00A61195" w:rsidRPr="003C4AB6">
        <w:rPr>
          <w:sz w:val="24"/>
          <w:szCs w:val="24"/>
        </w:rPr>
        <w:t>/</w:t>
      </w:r>
      <w:r w:rsidR="00665E72" w:rsidRPr="003C4AB6">
        <w:rPr>
          <w:sz w:val="24"/>
          <w:szCs w:val="24"/>
        </w:rPr>
        <w:t xml:space="preserve"> Степен на техническа готовност за разработване на иновацията</w:t>
      </w:r>
    </w:p>
    <w:p w:rsidR="00665E72"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9</w:t>
      </w:r>
      <w:r w:rsidR="00A61195" w:rsidRPr="003C4AB6">
        <w:rPr>
          <w:sz w:val="24"/>
          <w:szCs w:val="24"/>
        </w:rPr>
        <w:t xml:space="preserve">/ </w:t>
      </w:r>
      <w:r w:rsidR="00665E72" w:rsidRPr="003C4AB6">
        <w:rPr>
          <w:sz w:val="24"/>
          <w:szCs w:val="24"/>
        </w:rPr>
        <w:t xml:space="preserve">Придобити права по интелектуална собственост от кандидата, управителя и/или </w:t>
      </w:r>
      <w:proofErr w:type="spellStart"/>
      <w:r w:rsidR="00665E72" w:rsidRPr="003C4AB6">
        <w:rPr>
          <w:sz w:val="24"/>
          <w:szCs w:val="24"/>
        </w:rPr>
        <w:t>съдружниците</w:t>
      </w:r>
      <w:proofErr w:type="spellEnd"/>
      <w:r w:rsidR="00665E72" w:rsidRPr="003C4AB6">
        <w:rPr>
          <w:sz w:val="24"/>
          <w:szCs w:val="24"/>
        </w:rPr>
        <w:t xml:space="preserve"> </w:t>
      </w:r>
    </w:p>
    <w:p w:rsidR="00E616DF"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10</w:t>
      </w:r>
      <w:r w:rsidR="00A61195" w:rsidRPr="003C4AB6">
        <w:rPr>
          <w:sz w:val="24"/>
          <w:szCs w:val="24"/>
        </w:rPr>
        <w:t xml:space="preserve">/ </w:t>
      </w:r>
      <w:r w:rsidR="00E616DF" w:rsidRPr="003C4AB6">
        <w:rPr>
          <w:sz w:val="24"/>
          <w:szCs w:val="24"/>
        </w:rPr>
        <w:t>Регионална специализация съгласно ИСИС</w:t>
      </w:r>
    </w:p>
    <w:p w:rsidR="00E616DF" w:rsidRPr="003C4AB6" w:rsidRDefault="009E4E7E"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11</w:t>
      </w:r>
      <w:r w:rsidR="00A61195" w:rsidRPr="003C4AB6">
        <w:rPr>
          <w:sz w:val="24"/>
          <w:szCs w:val="24"/>
        </w:rPr>
        <w:t>/</w:t>
      </w:r>
      <w:r w:rsidR="00E616DF" w:rsidRPr="003C4AB6">
        <w:rPr>
          <w:sz w:val="24"/>
          <w:szCs w:val="24"/>
        </w:rPr>
        <w:t xml:space="preserve"> Регионална </w:t>
      </w:r>
      <w:proofErr w:type="spellStart"/>
      <w:r w:rsidR="00E616DF" w:rsidRPr="003C4AB6">
        <w:rPr>
          <w:sz w:val="24"/>
          <w:szCs w:val="24"/>
        </w:rPr>
        <w:t>приоритизация</w:t>
      </w:r>
      <w:proofErr w:type="spellEnd"/>
      <w:r w:rsidR="00E616DF" w:rsidRPr="003C4AB6">
        <w:rPr>
          <w:sz w:val="24"/>
          <w:szCs w:val="24"/>
        </w:rPr>
        <w:t xml:space="preserve"> за проекти, изпълнявани на територията на СЗР</w:t>
      </w:r>
    </w:p>
    <w:p w:rsidR="00E616DF" w:rsidRPr="003C4AB6" w:rsidRDefault="00A61195"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1</w:t>
      </w:r>
      <w:r w:rsidR="009E4E7E">
        <w:rPr>
          <w:sz w:val="24"/>
          <w:szCs w:val="24"/>
        </w:rPr>
        <w:t>2</w:t>
      </w:r>
      <w:r w:rsidRPr="003C4AB6">
        <w:rPr>
          <w:sz w:val="24"/>
          <w:szCs w:val="24"/>
        </w:rPr>
        <w:t>/</w:t>
      </w:r>
      <w:r w:rsidR="00E616DF" w:rsidRPr="003C4AB6">
        <w:rPr>
          <w:sz w:val="24"/>
          <w:szCs w:val="24"/>
        </w:rPr>
        <w:t xml:space="preserve"> Участие на членове на екипа на кандидата в Рамковите програми на ЕС  </w:t>
      </w:r>
    </w:p>
    <w:p w:rsidR="00E616DF" w:rsidRPr="003C4AB6" w:rsidRDefault="00A61195" w:rsidP="003224B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1</w:t>
      </w:r>
      <w:r w:rsidR="00E66720">
        <w:rPr>
          <w:sz w:val="24"/>
          <w:szCs w:val="24"/>
        </w:rPr>
        <w:t>3</w:t>
      </w:r>
      <w:r w:rsidRPr="003C4AB6">
        <w:rPr>
          <w:sz w:val="24"/>
          <w:szCs w:val="24"/>
        </w:rPr>
        <w:t xml:space="preserve">/ </w:t>
      </w:r>
      <w:r w:rsidR="00E616DF" w:rsidRPr="003C4AB6">
        <w:rPr>
          <w:sz w:val="24"/>
          <w:szCs w:val="24"/>
        </w:rPr>
        <w:t xml:space="preserve">Подкрепа за </w:t>
      </w:r>
      <w:proofErr w:type="spellStart"/>
      <w:r w:rsidR="00E616DF" w:rsidRPr="003C4AB6">
        <w:rPr>
          <w:sz w:val="24"/>
          <w:szCs w:val="24"/>
        </w:rPr>
        <w:t>еко-иновации</w:t>
      </w:r>
      <w:proofErr w:type="spellEnd"/>
    </w:p>
    <w:p w:rsidR="005E1F5F" w:rsidRPr="003C4AB6" w:rsidRDefault="005E1F5F" w:rsidP="005E1F5F">
      <w:pPr>
        <w:pBdr>
          <w:top w:val="single" w:sz="4" w:space="1" w:color="auto"/>
          <w:left w:val="single" w:sz="4" w:space="4" w:color="auto"/>
          <w:bottom w:val="single" w:sz="4" w:space="1" w:color="auto"/>
          <w:right w:val="single" w:sz="4" w:space="4" w:color="auto"/>
        </w:pBdr>
        <w:spacing w:before="240" w:after="120" w:line="240" w:lineRule="auto"/>
        <w:jc w:val="both"/>
        <w:rPr>
          <w:sz w:val="24"/>
          <w:szCs w:val="24"/>
        </w:rPr>
      </w:pPr>
      <w:r w:rsidRPr="003C4AB6">
        <w:rPr>
          <w:sz w:val="24"/>
          <w:szCs w:val="24"/>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p>
    <w:p w:rsidR="003224B1" w:rsidRPr="003C4AB6" w:rsidRDefault="003224B1" w:rsidP="003224B1">
      <w:pPr>
        <w:pBdr>
          <w:top w:val="single" w:sz="4" w:space="1" w:color="auto"/>
          <w:left w:val="single" w:sz="4" w:space="4" w:color="auto"/>
          <w:bottom w:val="single" w:sz="4" w:space="1" w:color="auto"/>
          <w:right w:val="single" w:sz="4" w:space="4" w:color="auto"/>
        </w:pBdr>
        <w:spacing w:after="120" w:line="240" w:lineRule="auto"/>
        <w:jc w:val="both"/>
        <w:rPr>
          <w:sz w:val="4"/>
          <w:szCs w:val="4"/>
        </w:rPr>
      </w:pPr>
    </w:p>
    <w:p w:rsidR="00CC0837" w:rsidRPr="003C4AB6" w:rsidRDefault="00CC0837" w:rsidP="00CC083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Решение за отхвърляне</w:t>
      </w:r>
      <w:r w:rsidRPr="003C4AB6">
        <w:rPr>
          <w:sz w:val="24"/>
          <w:szCs w:val="24"/>
        </w:rPr>
        <w:t xml:space="preserve"> на дадено проектно предложение ще бъде взимано на следните основания:</w:t>
      </w:r>
    </w:p>
    <w:p w:rsidR="00CC0837" w:rsidRPr="003C4AB6" w:rsidRDefault="00CC0837"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3C4AB6">
        <w:rPr>
          <w:sz w:val="24"/>
          <w:szCs w:val="24"/>
        </w:rPr>
        <w:t xml:space="preserve"> - Предложението е непълно или не отговаря в други отношения на поставените условия за административно съответствие;</w:t>
      </w:r>
    </w:p>
    <w:p w:rsidR="00CC0837" w:rsidRPr="003C4AB6" w:rsidRDefault="00CC0837"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3C4AB6">
        <w:rPr>
          <w:sz w:val="24"/>
          <w:szCs w:val="24"/>
        </w:rPr>
        <w:t xml:space="preserve"> - Кандидатът не отговаря на условията за допустимост;</w:t>
      </w:r>
    </w:p>
    <w:p w:rsidR="00CC0837" w:rsidRDefault="00CC0837"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lang w:val="en-US"/>
        </w:rPr>
      </w:pPr>
      <w:r w:rsidRPr="003C4AB6">
        <w:rPr>
          <w:sz w:val="24"/>
          <w:szCs w:val="24"/>
        </w:rPr>
        <w:t xml:space="preserve"> - Проектът не отговаря на условията за допустимост;</w:t>
      </w:r>
    </w:p>
    <w:p w:rsidR="00771858" w:rsidRPr="00771858" w:rsidRDefault="00771858"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lang w:val="en-US"/>
        </w:rPr>
      </w:pPr>
      <w:r>
        <w:rPr>
          <w:sz w:val="24"/>
          <w:szCs w:val="24"/>
          <w:lang w:val="en-US"/>
        </w:rPr>
        <w:t xml:space="preserve"> </w:t>
      </w:r>
      <w:r w:rsidRPr="00771858">
        <w:rPr>
          <w:sz w:val="24"/>
          <w:szCs w:val="24"/>
          <w:lang w:val="en-US"/>
        </w:rPr>
        <w:t xml:space="preserve">- </w:t>
      </w:r>
      <w:proofErr w:type="spellStart"/>
      <w:r w:rsidRPr="00771858">
        <w:rPr>
          <w:sz w:val="24"/>
          <w:szCs w:val="24"/>
          <w:lang w:val="en-US"/>
        </w:rPr>
        <w:t>Проектът</w:t>
      </w:r>
      <w:proofErr w:type="spellEnd"/>
      <w:r w:rsidRPr="00771858">
        <w:rPr>
          <w:sz w:val="24"/>
          <w:szCs w:val="24"/>
          <w:lang w:val="en-US"/>
        </w:rPr>
        <w:t xml:space="preserve"> </w:t>
      </w:r>
      <w:proofErr w:type="spellStart"/>
      <w:r w:rsidRPr="00771858">
        <w:rPr>
          <w:sz w:val="24"/>
          <w:szCs w:val="24"/>
          <w:lang w:val="en-US"/>
        </w:rPr>
        <w:t>не</w:t>
      </w:r>
      <w:proofErr w:type="spellEnd"/>
      <w:r w:rsidRPr="00771858">
        <w:rPr>
          <w:sz w:val="24"/>
          <w:szCs w:val="24"/>
          <w:lang w:val="en-US"/>
        </w:rPr>
        <w:t xml:space="preserve"> </w:t>
      </w:r>
      <w:proofErr w:type="spellStart"/>
      <w:r w:rsidRPr="00771858">
        <w:rPr>
          <w:sz w:val="24"/>
          <w:szCs w:val="24"/>
          <w:lang w:val="en-US"/>
        </w:rPr>
        <w:t>покрива</w:t>
      </w:r>
      <w:proofErr w:type="spellEnd"/>
      <w:r w:rsidRPr="00771858">
        <w:rPr>
          <w:sz w:val="24"/>
          <w:szCs w:val="24"/>
          <w:lang w:val="en-US"/>
        </w:rPr>
        <w:t xml:space="preserve"> </w:t>
      </w:r>
      <w:proofErr w:type="spellStart"/>
      <w:r w:rsidRPr="00771858">
        <w:rPr>
          <w:sz w:val="24"/>
          <w:szCs w:val="24"/>
          <w:lang w:val="en-US"/>
        </w:rPr>
        <w:t>критериите</w:t>
      </w:r>
      <w:proofErr w:type="spellEnd"/>
      <w:r w:rsidRPr="00771858">
        <w:rPr>
          <w:sz w:val="24"/>
          <w:szCs w:val="24"/>
          <w:lang w:val="en-US"/>
        </w:rPr>
        <w:t xml:space="preserve"> </w:t>
      </w:r>
      <w:proofErr w:type="spellStart"/>
      <w:r w:rsidRPr="00771858">
        <w:rPr>
          <w:sz w:val="24"/>
          <w:szCs w:val="24"/>
          <w:lang w:val="en-US"/>
        </w:rPr>
        <w:t>за</w:t>
      </w:r>
      <w:proofErr w:type="spellEnd"/>
      <w:r w:rsidRPr="00771858">
        <w:rPr>
          <w:sz w:val="24"/>
          <w:szCs w:val="24"/>
          <w:lang w:val="en-US"/>
        </w:rPr>
        <w:t xml:space="preserve"> </w:t>
      </w:r>
      <w:proofErr w:type="spellStart"/>
      <w:r w:rsidRPr="00771858">
        <w:rPr>
          <w:sz w:val="24"/>
          <w:szCs w:val="24"/>
          <w:lang w:val="en-US"/>
        </w:rPr>
        <w:t>качество</w:t>
      </w:r>
      <w:proofErr w:type="spellEnd"/>
      <w:r w:rsidRPr="00771858">
        <w:rPr>
          <w:sz w:val="24"/>
          <w:szCs w:val="24"/>
          <w:lang w:val="en-US"/>
        </w:rPr>
        <w:t xml:space="preserve"> (</w:t>
      </w:r>
      <w:proofErr w:type="spellStart"/>
      <w:r w:rsidRPr="00771858">
        <w:rPr>
          <w:sz w:val="24"/>
          <w:szCs w:val="24"/>
          <w:lang w:val="en-US"/>
        </w:rPr>
        <w:t>не</w:t>
      </w:r>
      <w:proofErr w:type="spellEnd"/>
      <w:r w:rsidRPr="00771858">
        <w:rPr>
          <w:sz w:val="24"/>
          <w:szCs w:val="24"/>
          <w:lang w:val="en-US"/>
        </w:rPr>
        <w:t xml:space="preserve"> </w:t>
      </w:r>
      <w:proofErr w:type="spellStart"/>
      <w:r w:rsidRPr="00771858">
        <w:rPr>
          <w:sz w:val="24"/>
          <w:szCs w:val="24"/>
          <w:lang w:val="en-US"/>
        </w:rPr>
        <w:t>покрива</w:t>
      </w:r>
      <w:proofErr w:type="spellEnd"/>
      <w:r w:rsidRPr="00771858">
        <w:rPr>
          <w:sz w:val="24"/>
          <w:szCs w:val="24"/>
          <w:lang w:val="en-US"/>
        </w:rPr>
        <w:t xml:space="preserve"> </w:t>
      </w:r>
      <w:proofErr w:type="spellStart"/>
      <w:r w:rsidRPr="00771858">
        <w:rPr>
          <w:sz w:val="24"/>
          <w:szCs w:val="24"/>
          <w:lang w:val="en-US"/>
        </w:rPr>
        <w:t>минималния</w:t>
      </w:r>
      <w:proofErr w:type="spellEnd"/>
      <w:r w:rsidRPr="00771858">
        <w:rPr>
          <w:sz w:val="24"/>
          <w:szCs w:val="24"/>
          <w:lang w:val="en-US"/>
        </w:rPr>
        <w:t xml:space="preserve"> </w:t>
      </w:r>
      <w:proofErr w:type="spellStart"/>
      <w:r w:rsidRPr="00771858">
        <w:rPr>
          <w:sz w:val="24"/>
          <w:szCs w:val="24"/>
          <w:lang w:val="en-US"/>
        </w:rPr>
        <w:t>брой</w:t>
      </w:r>
      <w:proofErr w:type="spellEnd"/>
      <w:r w:rsidRPr="00771858">
        <w:rPr>
          <w:sz w:val="24"/>
          <w:szCs w:val="24"/>
          <w:lang w:val="en-US"/>
        </w:rPr>
        <w:t xml:space="preserve"> </w:t>
      </w:r>
      <w:proofErr w:type="spellStart"/>
      <w:r w:rsidRPr="00771858">
        <w:rPr>
          <w:sz w:val="24"/>
          <w:szCs w:val="24"/>
          <w:lang w:val="en-US"/>
        </w:rPr>
        <w:t>точки</w:t>
      </w:r>
      <w:proofErr w:type="spellEnd"/>
      <w:r w:rsidRPr="00771858">
        <w:rPr>
          <w:sz w:val="24"/>
          <w:szCs w:val="24"/>
          <w:lang w:val="en-US"/>
        </w:rPr>
        <w:t>);</w:t>
      </w:r>
    </w:p>
    <w:p w:rsidR="00CC0837" w:rsidRPr="003C4AB6" w:rsidRDefault="00CC0837"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3C4AB6">
        <w:rPr>
          <w:sz w:val="24"/>
          <w:szCs w:val="24"/>
        </w:rPr>
        <w:t xml:space="preserve"> - Не са спазени други критерии, посочени в </w:t>
      </w:r>
      <w:r w:rsidR="007B1E28">
        <w:rPr>
          <w:sz w:val="24"/>
          <w:szCs w:val="24"/>
        </w:rPr>
        <w:t>Условия</w:t>
      </w:r>
      <w:r w:rsidRPr="003C4AB6">
        <w:rPr>
          <w:sz w:val="24"/>
          <w:szCs w:val="24"/>
        </w:rPr>
        <w:t>т</w:t>
      </w:r>
      <w:r w:rsidR="005349F3">
        <w:rPr>
          <w:sz w:val="24"/>
          <w:szCs w:val="24"/>
        </w:rPr>
        <w:t>а</w:t>
      </w:r>
      <w:r w:rsidRPr="003C4AB6">
        <w:rPr>
          <w:sz w:val="24"/>
          <w:szCs w:val="24"/>
        </w:rPr>
        <w:t xml:space="preserve"> за кандидатстване;</w:t>
      </w:r>
    </w:p>
    <w:p w:rsidR="00187551" w:rsidRPr="003C4AB6" w:rsidRDefault="00CC0837" w:rsidP="00CC0837">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3C4AB6">
        <w:rPr>
          <w:sz w:val="24"/>
          <w:szCs w:val="24"/>
        </w:rPr>
        <w:t xml:space="preserve"> -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w:t>
      </w:r>
      <w:r w:rsidR="007B1E28">
        <w:rPr>
          <w:sz w:val="24"/>
          <w:szCs w:val="24"/>
        </w:rPr>
        <w:t>Условия</w:t>
      </w:r>
      <w:r w:rsidRPr="003C4AB6">
        <w:rPr>
          <w:sz w:val="24"/>
          <w:szCs w:val="24"/>
        </w:rPr>
        <w:t>т</w:t>
      </w:r>
      <w:r w:rsidR="005349F3">
        <w:rPr>
          <w:sz w:val="24"/>
          <w:szCs w:val="24"/>
        </w:rPr>
        <w:t>а</w:t>
      </w:r>
      <w:r w:rsidR="006B649B" w:rsidRPr="003C4AB6">
        <w:rPr>
          <w:sz w:val="24"/>
          <w:szCs w:val="24"/>
        </w:rPr>
        <w:t xml:space="preserve"> за кандидатстване информация.</w:t>
      </w:r>
    </w:p>
    <w:p w:rsidR="0088542C" w:rsidRPr="003C4AB6" w:rsidRDefault="002325A3" w:rsidP="002325A3">
      <w:pPr>
        <w:pStyle w:val="ListParagraph"/>
        <w:spacing w:after="360" w:line="240" w:lineRule="auto"/>
        <w:ind w:left="0"/>
        <w:jc w:val="both"/>
        <w:rPr>
          <w:b/>
          <w:sz w:val="10"/>
          <w:szCs w:val="10"/>
        </w:rPr>
      </w:pPr>
      <w:r w:rsidRPr="003C4AB6">
        <w:rPr>
          <w:b/>
          <w:sz w:val="24"/>
          <w:szCs w:val="24"/>
        </w:rPr>
        <w:t xml:space="preserve">    </w:t>
      </w:r>
      <w:r w:rsidRPr="003C4AB6">
        <w:rPr>
          <w:b/>
          <w:sz w:val="10"/>
          <w:szCs w:val="10"/>
        </w:rPr>
        <w:t xml:space="preserve">       </w:t>
      </w:r>
    </w:p>
    <w:p w:rsidR="002D4B6A" w:rsidRPr="003C4AB6" w:rsidRDefault="00CB14EE" w:rsidP="00C34546">
      <w:pPr>
        <w:pStyle w:val="Heading2"/>
        <w:spacing w:before="120" w:after="120"/>
      </w:pPr>
      <w:bookmarkStart w:id="32" w:name="_Toc442298735"/>
      <w:r w:rsidRPr="003C4AB6">
        <w:t>2</w:t>
      </w:r>
      <w:r w:rsidR="007C1B34">
        <w:t>3</w:t>
      </w:r>
      <w:r w:rsidR="002D4B6A" w:rsidRPr="003C4AB6">
        <w:t>.</w:t>
      </w:r>
      <w:r w:rsidR="00F366E3" w:rsidRPr="003C4AB6">
        <w:t xml:space="preserve"> </w:t>
      </w:r>
      <w:r w:rsidR="002D4B6A" w:rsidRPr="003C4AB6">
        <w:t>Начин на подаване на проектните предложения</w:t>
      </w:r>
      <w:r w:rsidR="00752519" w:rsidRPr="003C4AB6">
        <w:t>/концепциите за проектни предложения</w:t>
      </w:r>
      <w:r w:rsidR="002D4B6A" w:rsidRPr="003C4AB6">
        <w:t>:</w:t>
      </w:r>
      <w:bookmarkEnd w:id="32"/>
    </w:p>
    <w:p w:rsidR="00B203CB" w:rsidRPr="003C4AB6" w:rsidRDefault="0017437B" w:rsidP="006E04F4">
      <w:pPr>
        <w:pBdr>
          <w:top w:val="single" w:sz="4" w:space="1" w:color="auto"/>
          <w:left w:val="single" w:sz="4" w:space="4" w:color="auto"/>
          <w:bottom w:val="single" w:sz="4" w:space="0" w:color="auto"/>
          <w:right w:val="single" w:sz="4" w:space="4" w:color="auto"/>
        </w:pBdr>
        <w:spacing w:after="120" w:line="240" w:lineRule="auto"/>
        <w:jc w:val="both"/>
        <w:rPr>
          <w:b/>
          <w:sz w:val="24"/>
          <w:szCs w:val="24"/>
        </w:rPr>
      </w:pPr>
      <w:r w:rsidRPr="003C4AB6">
        <w:rPr>
          <w:sz w:val="24"/>
          <w:szCs w:val="24"/>
        </w:rPr>
        <w:t xml:space="preserve">Подаването на проектното предложение по настоящата процедура се извършва </w:t>
      </w:r>
      <w:r w:rsidR="00C87739" w:rsidRPr="003C4AB6">
        <w:rPr>
          <w:sz w:val="24"/>
          <w:szCs w:val="24"/>
        </w:rPr>
        <w:t>изцяло</w:t>
      </w:r>
      <w:r w:rsidR="00424FAD" w:rsidRPr="003C4AB6">
        <w:rPr>
          <w:sz w:val="24"/>
          <w:szCs w:val="24"/>
        </w:rPr>
        <w:t xml:space="preserve"> по </w:t>
      </w:r>
      <w:r w:rsidR="00C87739" w:rsidRPr="003C4AB6">
        <w:rPr>
          <w:sz w:val="24"/>
          <w:szCs w:val="24"/>
        </w:rPr>
        <w:t xml:space="preserve">електронен път </w:t>
      </w:r>
      <w:r w:rsidRPr="003C4AB6">
        <w:rPr>
          <w:sz w:val="24"/>
          <w:szCs w:val="24"/>
        </w:rPr>
        <w:t>чрез попълване на уеб базиран формуляр за кандидатстване и подаване на формуляра</w:t>
      </w:r>
      <w:r w:rsidR="00C87739" w:rsidRPr="003C4AB6">
        <w:rPr>
          <w:sz w:val="24"/>
          <w:szCs w:val="24"/>
        </w:rPr>
        <w:t xml:space="preserve"> и </w:t>
      </w:r>
      <w:proofErr w:type="spellStart"/>
      <w:r w:rsidR="007E4A09" w:rsidRPr="003C4AB6">
        <w:rPr>
          <w:sz w:val="24"/>
          <w:szCs w:val="24"/>
        </w:rPr>
        <w:t>придружителните</w:t>
      </w:r>
      <w:proofErr w:type="spellEnd"/>
      <w:r w:rsidR="007E4A09" w:rsidRPr="003C4AB6">
        <w:rPr>
          <w:sz w:val="24"/>
          <w:szCs w:val="24"/>
        </w:rPr>
        <w:t xml:space="preserve"> документи</w:t>
      </w:r>
      <w:r w:rsidRPr="003C4AB6">
        <w:rPr>
          <w:sz w:val="24"/>
          <w:szCs w:val="24"/>
        </w:rPr>
        <w:t xml:space="preserve"> чрез</w:t>
      </w:r>
      <w:r w:rsidR="000E1D0A" w:rsidRPr="003C4AB6">
        <w:rPr>
          <w:b/>
          <w:sz w:val="24"/>
          <w:szCs w:val="24"/>
        </w:rPr>
        <w:t xml:space="preserve"> </w:t>
      </w:r>
      <w:r w:rsidR="00F42183" w:rsidRPr="003C4AB6">
        <w:rPr>
          <w:b/>
          <w:sz w:val="24"/>
          <w:szCs w:val="24"/>
        </w:rPr>
        <w:t xml:space="preserve">Информационната система за управление и наблюдение на Структурните инструменти на ЕС в България </w:t>
      </w:r>
      <w:r w:rsidR="00F42183" w:rsidRPr="003C4AB6">
        <w:rPr>
          <w:sz w:val="24"/>
          <w:szCs w:val="24"/>
        </w:rPr>
        <w:t>(ИСУН 2020)</w:t>
      </w:r>
      <w:r w:rsidR="00FF14AD" w:rsidRPr="003C4AB6">
        <w:rPr>
          <w:sz w:val="24"/>
          <w:szCs w:val="24"/>
        </w:rPr>
        <w:t xml:space="preserve"> </w:t>
      </w:r>
      <w:r w:rsidR="00374C93" w:rsidRPr="003C4AB6">
        <w:rPr>
          <w:sz w:val="24"/>
          <w:szCs w:val="24"/>
        </w:rPr>
        <w:t xml:space="preserve">единствено </w:t>
      </w:r>
      <w:r w:rsidR="00C87739" w:rsidRPr="003C4AB6">
        <w:rPr>
          <w:sz w:val="24"/>
          <w:szCs w:val="24"/>
        </w:rPr>
        <w:t>с</w:t>
      </w:r>
      <w:r w:rsidR="00B203CB" w:rsidRPr="003C4AB6">
        <w:rPr>
          <w:sz w:val="24"/>
          <w:szCs w:val="24"/>
        </w:rPr>
        <w:t xml:space="preserve"> </w:t>
      </w:r>
      <w:r w:rsidR="000D2F88" w:rsidRPr="003C4AB6">
        <w:rPr>
          <w:sz w:val="24"/>
          <w:szCs w:val="24"/>
        </w:rPr>
        <w:t>използването</w:t>
      </w:r>
      <w:r w:rsidR="00B203CB" w:rsidRPr="003C4AB6">
        <w:rPr>
          <w:sz w:val="24"/>
          <w:szCs w:val="24"/>
        </w:rPr>
        <w:t xml:space="preserve"> на </w:t>
      </w:r>
      <w:r w:rsidR="00374C93" w:rsidRPr="003C4AB6">
        <w:rPr>
          <w:b/>
          <w:sz w:val="24"/>
          <w:szCs w:val="24"/>
        </w:rPr>
        <w:t xml:space="preserve">Квалифициран </w:t>
      </w:r>
      <w:r w:rsidR="00B203CB" w:rsidRPr="003C4AB6">
        <w:rPr>
          <w:b/>
          <w:sz w:val="24"/>
          <w:szCs w:val="24"/>
        </w:rPr>
        <w:t>електронен подпис</w:t>
      </w:r>
      <w:r w:rsidR="00374C93" w:rsidRPr="003C4AB6">
        <w:rPr>
          <w:sz w:val="24"/>
          <w:szCs w:val="24"/>
        </w:rPr>
        <w:t xml:space="preserve"> (КЕП)</w:t>
      </w:r>
      <w:r w:rsidR="002B1EE7" w:rsidRPr="003C4AB6">
        <w:rPr>
          <w:sz w:val="24"/>
          <w:szCs w:val="24"/>
        </w:rPr>
        <w:t>,</w:t>
      </w:r>
      <w:r w:rsidR="00B203CB" w:rsidRPr="003C4AB6">
        <w:rPr>
          <w:sz w:val="24"/>
          <w:szCs w:val="24"/>
        </w:rPr>
        <w:t xml:space="preserve"> чрез модула </w:t>
      </w:r>
      <w:r w:rsidR="000E0225" w:rsidRPr="003C4AB6">
        <w:rPr>
          <w:sz w:val="24"/>
          <w:szCs w:val="24"/>
        </w:rPr>
        <w:t>„Е-кандидатстване“</w:t>
      </w:r>
      <w:r w:rsidR="00B203CB" w:rsidRPr="003C4AB6">
        <w:rPr>
          <w:sz w:val="24"/>
          <w:szCs w:val="24"/>
        </w:rPr>
        <w:t xml:space="preserve"> на следния интернет адрес: </w:t>
      </w:r>
      <w:r w:rsidR="004C0147" w:rsidRPr="004C0147">
        <w:rPr>
          <w:b/>
          <w:sz w:val="24"/>
          <w:szCs w:val="24"/>
        </w:rPr>
        <w:t>https://eumis2020.government.bg</w:t>
      </w:r>
      <w:r w:rsidR="00B203CB" w:rsidRPr="003C4AB6">
        <w:rPr>
          <w:b/>
          <w:sz w:val="24"/>
          <w:szCs w:val="24"/>
        </w:rPr>
        <w:t>.</w:t>
      </w:r>
    </w:p>
    <w:p w:rsidR="000E0225" w:rsidRPr="003C4AB6" w:rsidRDefault="000E0225" w:rsidP="00406D3E">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Подготовката</w:t>
      </w:r>
      <w:r w:rsidR="00C32F49" w:rsidRPr="003C4AB6">
        <w:rPr>
          <w:sz w:val="24"/>
          <w:szCs w:val="24"/>
        </w:rPr>
        <w:t xml:space="preserve"> и </w:t>
      </w:r>
      <w:r w:rsidRPr="003C4AB6">
        <w:rPr>
          <w:sz w:val="24"/>
          <w:szCs w:val="24"/>
        </w:rPr>
        <w:t xml:space="preserve">подаването на </w:t>
      </w:r>
      <w:r w:rsidR="00A67675" w:rsidRPr="003C4AB6">
        <w:rPr>
          <w:sz w:val="24"/>
          <w:szCs w:val="24"/>
        </w:rPr>
        <w:t>проектното предложение</w:t>
      </w:r>
      <w:r w:rsidRPr="003C4AB6">
        <w:rPr>
          <w:sz w:val="24"/>
          <w:szCs w:val="24"/>
        </w:rPr>
        <w:t xml:space="preserve"> в ИСУН 2020 се извършва по следния начин: Кандидатът влиза в ИСУН 2020</w:t>
      </w:r>
      <w:r w:rsidR="008C07DE" w:rsidRPr="003C4AB6">
        <w:rPr>
          <w:sz w:val="24"/>
          <w:szCs w:val="24"/>
        </w:rPr>
        <w:t>,</w:t>
      </w:r>
      <w:r w:rsidRPr="003C4AB6">
        <w:rPr>
          <w:sz w:val="24"/>
          <w:szCs w:val="24"/>
        </w:rPr>
        <w:t xml:space="preserve"> след регистрация чрез имейл и парола</w:t>
      </w:r>
      <w:r w:rsidR="008C07DE" w:rsidRPr="003C4AB6">
        <w:rPr>
          <w:sz w:val="24"/>
          <w:szCs w:val="24"/>
        </w:rPr>
        <w:t>,</w:t>
      </w:r>
      <w:r w:rsidRPr="003C4AB6">
        <w:rPr>
          <w:sz w:val="24"/>
          <w:szCs w:val="24"/>
        </w:rPr>
        <w:t xml:space="preserve">  избира </w:t>
      </w:r>
      <w:r w:rsidR="00C32F49" w:rsidRPr="003C4AB6">
        <w:rPr>
          <w:sz w:val="24"/>
          <w:szCs w:val="24"/>
        </w:rPr>
        <w:t xml:space="preserve">настоящата </w:t>
      </w:r>
      <w:r w:rsidRPr="003C4AB6">
        <w:rPr>
          <w:sz w:val="24"/>
          <w:szCs w:val="24"/>
        </w:rPr>
        <w:t>процедура за кандидатстване от „Отворени процедури“и създава ново проектно предложение.</w:t>
      </w:r>
    </w:p>
    <w:p w:rsidR="00C32F49" w:rsidRPr="003C4AB6" w:rsidRDefault="003B352D" w:rsidP="00406D3E">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Проектното предложение</w:t>
      </w:r>
      <w:r w:rsidR="007668C0" w:rsidRPr="003C4AB6">
        <w:rPr>
          <w:sz w:val="24"/>
          <w:szCs w:val="24"/>
        </w:rPr>
        <w:t xml:space="preserve"> </w:t>
      </w:r>
      <w:r w:rsidR="00C32F49" w:rsidRPr="003C4AB6">
        <w:rPr>
          <w:sz w:val="24"/>
          <w:szCs w:val="24"/>
        </w:rPr>
        <w:t>по настоящата</w:t>
      </w:r>
      <w:r w:rsidR="007668C0" w:rsidRPr="003C4AB6">
        <w:rPr>
          <w:sz w:val="24"/>
          <w:szCs w:val="24"/>
        </w:rPr>
        <w:t xml:space="preserve"> процедура</w:t>
      </w:r>
      <w:r w:rsidR="001A48F7" w:rsidRPr="003C4AB6">
        <w:rPr>
          <w:sz w:val="24"/>
          <w:szCs w:val="24"/>
        </w:rPr>
        <w:t xml:space="preserve"> се </w:t>
      </w:r>
      <w:r w:rsidRPr="003C4AB6">
        <w:rPr>
          <w:sz w:val="24"/>
          <w:szCs w:val="24"/>
        </w:rPr>
        <w:t>изготвя</w:t>
      </w:r>
      <w:r w:rsidR="001A48F7" w:rsidRPr="003C4AB6">
        <w:rPr>
          <w:sz w:val="24"/>
          <w:szCs w:val="24"/>
        </w:rPr>
        <w:t xml:space="preserve"> от кандидата</w:t>
      </w:r>
      <w:r w:rsidR="007668C0" w:rsidRPr="003C4AB6">
        <w:rPr>
          <w:sz w:val="24"/>
          <w:szCs w:val="24"/>
        </w:rPr>
        <w:t xml:space="preserve">, </w:t>
      </w:r>
      <w:r w:rsidR="001A48F7" w:rsidRPr="003C4AB6">
        <w:rPr>
          <w:sz w:val="24"/>
          <w:szCs w:val="24"/>
        </w:rPr>
        <w:t>съгласно</w:t>
      </w:r>
      <w:r w:rsidR="007668C0" w:rsidRPr="003C4AB6">
        <w:rPr>
          <w:sz w:val="24"/>
          <w:szCs w:val="24"/>
        </w:rPr>
        <w:t xml:space="preserve"> инструкциите на УО</w:t>
      </w:r>
      <w:r w:rsidR="00C676C0" w:rsidRPr="003C4AB6">
        <w:rPr>
          <w:sz w:val="24"/>
          <w:szCs w:val="24"/>
        </w:rPr>
        <w:t xml:space="preserve"> </w:t>
      </w:r>
      <w:r w:rsidR="009C6BB7" w:rsidRPr="003C4AB6">
        <w:rPr>
          <w:sz w:val="24"/>
          <w:szCs w:val="24"/>
        </w:rPr>
        <w:t xml:space="preserve">дадени в </w:t>
      </w:r>
      <w:r w:rsidR="00E948B5" w:rsidRPr="003C4AB6">
        <w:rPr>
          <w:sz w:val="24"/>
          <w:szCs w:val="24"/>
        </w:rPr>
        <w:t>У</w:t>
      </w:r>
      <w:r w:rsidR="009C6BB7" w:rsidRPr="003C4AB6">
        <w:rPr>
          <w:sz w:val="24"/>
          <w:szCs w:val="24"/>
        </w:rPr>
        <w:t xml:space="preserve">казанията </w:t>
      </w:r>
      <w:r w:rsidR="007668C0" w:rsidRPr="003C4AB6">
        <w:rPr>
          <w:sz w:val="24"/>
          <w:szCs w:val="24"/>
        </w:rPr>
        <w:t xml:space="preserve">за </w:t>
      </w:r>
      <w:r w:rsidR="00A67675" w:rsidRPr="003C4AB6">
        <w:rPr>
          <w:sz w:val="24"/>
          <w:szCs w:val="24"/>
        </w:rPr>
        <w:t>електронно</w:t>
      </w:r>
      <w:r w:rsidR="006976D6" w:rsidRPr="003C4AB6">
        <w:rPr>
          <w:sz w:val="24"/>
          <w:szCs w:val="24"/>
        </w:rPr>
        <w:t xml:space="preserve"> кандидатстване</w:t>
      </w:r>
      <w:r w:rsidR="009C6BB7" w:rsidRPr="003C4AB6">
        <w:rPr>
          <w:sz w:val="24"/>
          <w:szCs w:val="24"/>
        </w:rPr>
        <w:t xml:space="preserve"> </w:t>
      </w:r>
      <w:r w:rsidR="00A97CAB" w:rsidRPr="003C4AB6">
        <w:rPr>
          <w:sz w:val="24"/>
          <w:szCs w:val="24"/>
        </w:rPr>
        <w:t>(</w:t>
      </w:r>
      <w:r w:rsidR="009C6BB7" w:rsidRPr="003C4AB6">
        <w:rPr>
          <w:sz w:val="24"/>
          <w:szCs w:val="24"/>
        </w:rPr>
        <w:t xml:space="preserve">Приложение </w:t>
      </w:r>
      <w:r w:rsidR="00C676C0" w:rsidRPr="003C4AB6">
        <w:rPr>
          <w:sz w:val="24"/>
          <w:szCs w:val="24"/>
        </w:rPr>
        <w:t>А</w:t>
      </w:r>
      <w:r w:rsidR="00A97CAB" w:rsidRPr="003C4AB6">
        <w:rPr>
          <w:sz w:val="24"/>
          <w:szCs w:val="24"/>
        </w:rPr>
        <w:t>)</w:t>
      </w:r>
      <w:r w:rsidR="007668C0" w:rsidRPr="003C4AB6">
        <w:rPr>
          <w:sz w:val="24"/>
          <w:szCs w:val="24"/>
        </w:rPr>
        <w:t xml:space="preserve">. </w:t>
      </w:r>
    </w:p>
    <w:p w:rsidR="00C34546" w:rsidRPr="003C4AB6" w:rsidRDefault="001610D6" w:rsidP="00C34546">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b/>
          <w:sz w:val="24"/>
          <w:szCs w:val="24"/>
        </w:rPr>
        <w:lastRenderedPageBreak/>
        <w:t>Изискващите се съгласно т. 2</w:t>
      </w:r>
      <w:r w:rsidR="003B4F94">
        <w:rPr>
          <w:b/>
          <w:sz w:val="24"/>
          <w:szCs w:val="24"/>
        </w:rPr>
        <w:t>4</w:t>
      </w:r>
      <w:r w:rsidRPr="003C4AB6">
        <w:rPr>
          <w:b/>
          <w:sz w:val="24"/>
          <w:szCs w:val="24"/>
        </w:rPr>
        <w:t xml:space="preserve"> от </w:t>
      </w:r>
      <w:r w:rsidR="007B1E28">
        <w:rPr>
          <w:b/>
          <w:sz w:val="24"/>
          <w:szCs w:val="24"/>
        </w:rPr>
        <w:t>Условия</w:t>
      </w:r>
      <w:r w:rsidRPr="003C4AB6">
        <w:rPr>
          <w:b/>
          <w:sz w:val="24"/>
          <w:szCs w:val="24"/>
        </w:rPr>
        <w:t>т</w:t>
      </w:r>
      <w:r w:rsidR="005349F3">
        <w:rPr>
          <w:b/>
          <w:sz w:val="24"/>
          <w:szCs w:val="24"/>
        </w:rPr>
        <w:t>а</w:t>
      </w:r>
      <w:r w:rsidRPr="003C4AB6">
        <w:rPr>
          <w:b/>
          <w:sz w:val="24"/>
          <w:szCs w:val="24"/>
        </w:rPr>
        <w:t xml:space="preserve"> за кандидатстване</w:t>
      </w:r>
      <w:r w:rsidRPr="003C4AB6" w:rsidDel="001610D6">
        <w:rPr>
          <w:b/>
          <w:sz w:val="24"/>
          <w:szCs w:val="24"/>
        </w:rPr>
        <w:t xml:space="preserve"> </w:t>
      </w:r>
      <w:proofErr w:type="spellStart"/>
      <w:r w:rsidR="005933F1" w:rsidRPr="003C4AB6">
        <w:rPr>
          <w:b/>
          <w:sz w:val="24"/>
          <w:szCs w:val="24"/>
        </w:rPr>
        <w:t>придружителни</w:t>
      </w:r>
      <w:proofErr w:type="spellEnd"/>
      <w:r w:rsidR="007668C0" w:rsidRPr="003C4AB6">
        <w:rPr>
          <w:b/>
          <w:sz w:val="24"/>
          <w:szCs w:val="24"/>
        </w:rPr>
        <w:t xml:space="preserve"> документи</w:t>
      </w:r>
      <w:r w:rsidR="007668C0" w:rsidRPr="003C4AB6">
        <w:rPr>
          <w:sz w:val="24"/>
          <w:szCs w:val="24"/>
        </w:rPr>
        <w:t xml:space="preserve"> към формуляра</w:t>
      </w:r>
      <w:r w:rsidRPr="003C4AB6">
        <w:rPr>
          <w:sz w:val="24"/>
          <w:szCs w:val="24"/>
        </w:rPr>
        <w:t xml:space="preserve"> за кандидатстване</w:t>
      </w:r>
      <w:r w:rsidR="005933F1" w:rsidRPr="003C4AB6">
        <w:rPr>
          <w:sz w:val="24"/>
          <w:szCs w:val="24"/>
        </w:rPr>
        <w:t xml:space="preserve"> </w:t>
      </w:r>
      <w:r w:rsidR="00B82BB7" w:rsidRPr="003C4AB6">
        <w:rPr>
          <w:sz w:val="24"/>
          <w:szCs w:val="24"/>
        </w:rPr>
        <w:t xml:space="preserve">също </w:t>
      </w:r>
      <w:r w:rsidR="005933F1" w:rsidRPr="003C4AB6">
        <w:rPr>
          <w:b/>
          <w:sz w:val="24"/>
          <w:szCs w:val="24"/>
        </w:rPr>
        <w:t xml:space="preserve">се подават </w:t>
      </w:r>
      <w:r w:rsidR="00B82BB7" w:rsidRPr="003C4AB6">
        <w:rPr>
          <w:b/>
          <w:sz w:val="24"/>
          <w:szCs w:val="24"/>
        </w:rPr>
        <w:t>изцяло електронно</w:t>
      </w:r>
      <w:r w:rsidR="007668C0" w:rsidRPr="003C4AB6">
        <w:rPr>
          <w:sz w:val="24"/>
          <w:szCs w:val="24"/>
        </w:rPr>
        <w:t xml:space="preserve">. </w:t>
      </w:r>
      <w:r w:rsidR="00B4073D" w:rsidRPr="003C4AB6">
        <w:rPr>
          <w:sz w:val="24"/>
          <w:szCs w:val="24"/>
        </w:rPr>
        <w:t>Посочените документи се описват в т. 12 от Формуляра преди подаването му.</w:t>
      </w:r>
    </w:p>
    <w:p w:rsidR="006E04F4" w:rsidRPr="003C4AB6" w:rsidRDefault="005933F1"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 xml:space="preserve">Всички документи се </w:t>
      </w:r>
      <w:r w:rsidR="009253F4" w:rsidRPr="003C4AB6">
        <w:rPr>
          <w:sz w:val="24"/>
          <w:szCs w:val="24"/>
        </w:rPr>
        <w:t xml:space="preserve">представят </w:t>
      </w:r>
      <w:r w:rsidRPr="003C4AB6">
        <w:rPr>
          <w:sz w:val="24"/>
          <w:szCs w:val="24"/>
        </w:rPr>
        <w:t>на български език без корекции. Документ, чийто оригинал е на чужд език, се представя и в превод на български език.</w:t>
      </w:r>
      <w:r w:rsidR="00000B14" w:rsidRPr="003C4AB6">
        <w:rPr>
          <w:sz w:val="24"/>
          <w:szCs w:val="24"/>
        </w:rPr>
        <w:t xml:space="preserve"> </w:t>
      </w:r>
    </w:p>
    <w:p w:rsidR="006E04F4" w:rsidRPr="003C4AB6" w:rsidRDefault="007A7C38"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b/>
          <w:sz w:val="24"/>
          <w:szCs w:val="24"/>
        </w:rPr>
        <w:t>ВАЖНО</w:t>
      </w:r>
      <w:r w:rsidR="00E5389A" w:rsidRPr="003C4AB6">
        <w:rPr>
          <w:b/>
          <w:sz w:val="24"/>
          <w:szCs w:val="24"/>
        </w:rPr>
        <w:t>:</w:t>
      </w:r>
      <w:r w:rsidR="00E5389A" w:rsidRPr="003C4AB6">
        <w:rPr>
          <w:sz w:val="24"/>
          <w:szCs w:val="24"/>
        </w:rPr>
        <w:t xml:space="preserve"> </w:t>
      </w:r>
      <w:r w:rsidR="00B47EFC" w:rsidRPr="003C4AB6">
        <w:rPr>
          <w:sz w:val="24"/>
          <w:szCs w:val="24"/>
        </w:rPr>
        <w:t>Проектното предложение се подава електронно чрез ИСУН 2020, като се подписва с КЕП от лице с право да представлява кандидата</w:t>
      </w:r>
      <w:r w:rsidR="00C50B83" w:rsidRPr="003C4AB6">
        <w:rPr>
          <w:rStyle w:val="FootnoteReference"/>
          <w:sz w:val="24"/>
          <w:szCs w:val="24"/>
        </w:rPr>
        <w:footnoteReference w:id="21"/>
      </w:r>
      <w:r w:rsidR="00727B5F" w:rsidRPr="003C4AB6">
        <w:rPr>
          <w:sz w:val="24"/>
          <w:szCs w:val="24"/>
        </w:rPr>
        <w:t xml:space="preserve"> или упълномощено от него лице</w:t>
      </w:r>
      <w:r w:rsidR="00B47EFC" w:rsidRPr="003C4AB6">
        <w:rPr>
          <w:sz w:val="24"/>
          <w:szCs w:val="24"/>
        </w:rPr>
        <w:t>. В случаите, когато кандидатът се представлява заедно от няколко физически лица, проектното предложение се подписва от всяко от тях</w:t>
      </w:r>
      <w:r w:rsidR="00E5389A" w:rsidRPr="003C4AB6">
        <w:rPr>
          <w:sz w:val="24"/>
          <w:szCs w:val="24"/>
        </w:rPr>
        <w:t xml:space="preserve"> при подаването.</w:t>
      </w:r>
      <w:r w:rsidR="00727B5F" w:rsidRPr="003C4AB6">
        <w:rPr>
          <w:sz w:val="24"/>
          <w:szCs w:val="24"/>
        </w:rPr>
        <w:t xml:space="preserve"> </w:t>
      </w:r>
      <w:r w:rsidR="00727B5F" w:rsidRPr="003C4AB6">
        <w:rPr>
          <w:rFonts w:ascii="Calibri" w:eastAsia="Calibri" w:hAnsi="Calibri" w:cs="Times New Roman"/>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w:t>
      </w:r>
      <w:r w:rsidR="003B4F94">
        <w:rPr>
          <w:rFonts w:ascii="Calibri" w:eastAsia="Calibri" w:hAnsi="Calibri" w:cs="Times New Roman"/>
          <w:sz w:val="24"/>
          <w:szCs w:val="24"/>
        </w:rPr>
        <w:t>4</w:t>
      </w:r>
      <w:r w:rsidR="00727B5F" w:rsidRPr="003C4AB6">
        <w:rPr>
          <w:rFonts w:ascii="Calibri" w:eastAsia="Calibri" w:hAnsi="Calibri" w:cs="Times New Roman"/>
          <w:sz w:val="24"/>
          <w:szCs w:val="24"/>
        </w:rPr>
        <w:t xml:space="preserve"> от </w:t>
      </w:r>
      <w:r w:rsidR="007B1E28">
        <w:rPr>
          <w:rFonts w:ascii="Calibri" w:eastAsia="Calibri" w:hAnsi="Calibri" w:cs="Times New Roman"/>
          <w:sz w:val="24"/>
          <w:szCs w:val="24"/>
        </w:rPr>
        <w:t>Условия</w:t>
      </w:r>
      <w:r w:rsidR="00727B5F" w:rsidRPr="003C4AB6">
        <w:rPr>
          <w:rFonts w:ascii="Calibri" w:eastAsia="Calibri" w:hAnsi="Calibri" w:cs="Times New Roman"/>
          <w:sz w:val="24"/>
          <w:szCs w:val="24"/>
        </w:rPr>
        <w:t>т</w:t>
      </w:r>
      <w:r w:rsidR="005349F3">
        <w:rPr>
          <w:rFonts w:ascii="Calibri" w:eastAsia="Calibri" w:hAnsi="Calibri" w:cs="Times New Roman"/>
          <w:sz w:val="24"/>
          <w:szCs w:val="24"/>
        </w:rPr>
        <w:t>а</w:t>
      </w:r>
      <w:r w:rsidR="00727B5F" w:rsidRPr="003C4AB6">
        <w:rPr>
          <w:rFonts w:ascii="Calibri" w:eastAsia="Calibri" w:hAnsi="Calibri" w:cs="Times New Roman"/>
          <w:sz w:val="24"/>
          <w:szCs w:val="24"/>
        </w:rPr>
        <w:t>, че не могат да се подписват от упълномощени лица, тъй като с тях се декларират данни, за които се носи наказателна отговорност</w:t>
      </w:r>
      <w:r w:rsidR="00147007">
        <w:rPr>
          <w:rFonts w:ascii="Calibri" w:eastAsia="Calibri" w:hAnsi="Calibri" w:cs="Times New Roman"/>
          <w:sz w:val="24"/>
          <w:szCs w:val="24"/>
        </w:rPr>
        <w:t xml:space="preserve"> в лично качество</w:t>
      </w:r>
      <w:r w:rsidR="00727B5F" w:rsidRPr="003C4AB6">
        <w:rPr>
          <w:rFonts w:ascii="Calibri" w:eastAsia="Calibri" w:hAnsi="Calibri" w:cs="Times New Roman"/>
          <w:sz w:val="24"/>
          <w:szCs w:val="24"/>
        </w:rPr>
        <w:t>.</w:t>
      </w:r>
    </w:p>
    <w:p w:rsidR="006E04F4" w:rsidRPr="003C4AB6" w:rsidRDefault="00E158B1"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 xml:space="preserve">Моля, обърнете внимание, че е препоръчително </w:t>
      </w:r>
      <w:r w:rsidR="00E135AE" w:rsidRPr="003C4AB6">
        <w:rPr>
          <w:sz w:val="24"/>
          <w:szCs w:val="24"/>
        </w:rPr>
        <w:t xml:space="preserve">проектното предложение </w:t>
      </w:r>
      <w:r w:rsidRPr="003C4AB6">
        <w:rPr>
          <w:sz w:val="24"/>
          <w:szCs w:val="24"/>
        </w:rPr>
        <w:t xml:space="preserve">да се подава винаги от профила на кандидата, </w:t>
      </w:r>
      <w:r w:rsidR="00E135AE" w:rsidRPr="003C4AB6">
        <w:rPr>
          <w:sz w:val="24"/>
          <w:szCs w:val="24"/>
        </w:rPr>
        <w:t xml:space="preserve">а </w:t>
      </w:r>
      <w:r w:rsidRPr="003C4AB6">
        <w:rPr>
          <w:sz w:val="24"/>
          <w:szCs w:val="24"/>
        </w:rPr>
        <w:t xml:space="preserve">не от друг профил, тъй като впоследствие именно този профил </w:t>
      </w:r>
      <w:r w:rsidR="002B1B98" w:rsidRPr="003C4AB6">
        <w:rPr>
          <w:sz w:val="24"/>
          <w:szCs w:val="24"/>
        </w:rPr>
        <w:t xml:space="preserve">ще бъде използван </w:t>
      </w:r>
      <w:r w:rsidRPr="003C4AB6">
        <w:rPr>
          <w:sz w:val="24"/>
          <w:szCs w:val="24"/>
        </w:rPr>
        <w:t>за комуникация с Управляващия орган и за отстраняване на забелязани неточности по време на оцен</w:t>
      </w:r>
      <w:r w:rsidR="006E04F4" w:rsidRPr="003C4AB6">
        <w:rPr>
          <w:sz w:val="24"/>
          <w:szCs w:val="24"/>
        </w:rPr>
        <w:t>ката на проектните предложения.</w:t>
      </w:r>
      <w:r w:rsidR="00D17AEC" w:rsidRPr="003C4AB6">
        <w:rPr>
          <w:rFonts w:ascii="Calibri" w:eastAsia="Calibri" w:hAnsi="Calibri" w:cs="Times New Roman"/>
        </w:rPr>
        <w:t xml:space="preserve"> П</w:t>
      </w:r>
      <w:r w:rsidR="00D17AEC" w:rsidRPr="003C4AB6">
        <w:rPr>
          <w:rFonts w:ascii="Calibri" w:eastAsia="Calibri" w:hAnsi="Calibri" w:cs="Times New Roman"/>
          <w:sz w:val="24"/>
          <w:szCs w:val="24"/>
        </w:rPr>
        <w:t xml:space="preserve">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00D17AEC" w:rsidRPr="003C4AB6">
        <w:rPr>
          <w:rFonts w:ascii="Calibri" w:eastAsia="Calibri" w:hAnsi="Calibri" w:cs="Times New Roman"/>
          <w:b/>
          <w:sz w:val="24"/>
          <w:szCs w:val="24"/>
        </w:rPr>
        <w:t xml:space="preserve">са </w:t>
      </w:r>
      <w:r w:rsidR="00C8612C">
        <w:rPr>
          <w:rFonts w:ascii="Calibri" w:eastAsia="Calibri" w:hAnsi="Calibri" w:cs="Times New Roman"/>
          <w:b/>
          <w:sz w:val="24"/>
          <w:szCs w:val="24"/>
        </w:rPr>
        <w:t>недопустими</w:t>
      </w:r>
      <w:r w:rsidR="00D17AEC" w:rsidRPr="003C4AB6">
        <w:rPr>
          <w:rFonts w:ascii="Calibri" w:eastAsia="Calibri" w:hAnsi="Calibri" w:cs="Times New Roman"/>
          <w:sz w:val="24"/>
          <w:szCs w:val="24"/>
        </w:rPr>
        <w:t>.</w:t>
      </w:r>
    </w:p>
    <w:p w:rsidR="006E04F4" w:rsidRPr="003C4AB6" w:rsidRDefault="007668C0"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като това обстоятелство се отбелязва от потребител на ИСУН</w:t>
      </w:r>
      <w:r w:rsidR="00AB0752" w:rsidRPr="003C4AB6">
        <w:rPr>
          <w:sz w:val="24"/>
          <w:szCs w:val="24"/>
        </w:rPr>
        <w:t xml:space="preserve"> от УО</w:t>
      </w:r>
      <w:r w:rsidRPr="003C4AB6">
        <w:rPr>
          <w:sz w:val="24"/>
          <w:szCs w:val="24"/>
        </w:rPr>
        <w:t xml:space="preserve"> със съответните права.</w:t>
      </w:r>
      <w:r w:rsidR="00854B4F" w:rsidRPr="003C4AB6">
        <w:rPr>
          <w:sz w:val="24"/>
          <w:szCs w:val="24"/>
        </w:rPr>
        <w:t xml:space="preserve"> </w:t>
      </w:r>
    </w:p>
    <w:p w:rsidR="006E04F4" w:rsidRPr="003C4AB6" w:rsidRDefault="000E1D0A"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Моля</w:t>
      </w:r>
      <w:r w:rsidR="004F7843" w:rsidRPr="003C4AB6">
        <w:rPr>
          <w:sz w:val="24"/>
          <w:szCs w:val="24"/>
        </w:rPr>
        <w:t>,</w:t>
      </w:r>
      <w:r w:rsidRPr="003C4AB6">
        <w:rPr>
          <w:sz w:val="24"/>
          <w:szCs w:val="24"/>
        </w:rPr>
        <w:t xml:space="preserve"> обърнете внимание, че сам</w:t>
      </w:r>
      <w:r w:rsidR="00AA2855" w:rsidRPr="003C4AB6">
        <w:rPr>
          <w:sz w:val="24"/>
          <w:szCs w:val="24"/>
        </w:rPr>
        <w:t xml:space="preserve">о Формулярът за кандидатстване </w:t>
      </w:r>
      <w:r w:rsidRPr="003C4AB6">
        <w:rPr>
          <w:sz w:val="24"/>
          <w:szCs w:val="24"/>
        </w:rPr>
        <w:t xml:space="preserve">и изискуемите </w:t>
      </w:r>
      <w:r w:rsidR="00D32748" w:rsidRPr="003C4AB6">
        <w:rPr>
          <w:sz w:val="24"/>
          <w:szCs w:val="24"/>
        </w:rPr>
        <w:t xml:space="preserve">на етап кандидатстване </w:t>
      </w:r>
      <w:r w:rsidRPr="003C4AB6">
        <w:rPr>
          <w:sz w:val="24"/>
          <w:szCs w:val="24"/>
        </w:rPr>
        <w:t xml:space="preserve">документи ще бъдат оценявани. Затова, изключително важно е тези документи да съдържат </w:t>
      </w:r>
      <w:r w:rsidR="00DB5F07" w:rsidRPr="003C4AB6">
        <w:rPr>
          <w:sz w:val="24"/>
          <w:szCs w:val="24"/>
        </w:rPr>
        <w:t>цялата</w:t>
      </w:r>
      <w:r w:rsidRPr="003C4AB6">
        <w:rPr>
          <w:sz w:val="24"/>
          <w:szCs w:val="24"/>
        </w:rPr>
        <w:t xml:space="preserve"> необходима информация.</w:t>
      </w:r>
    </w:p>
    <w:p w:rsidR="006E04F4" w:rsidRPr="003C4AB6" w:rsidRDefault="00132D5C"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 xml:space="preserve">При съставянето на </w:t>
      </w:r>
      <w:r w:rsidR="00AB0752" w:rsidRPr="003C4AB6">
        <w:rPr>
          <w:sz w:val="24"/>
          <w:szCs w:val="24"/>
        </w:rPr>
        <w:t xml:space="preserve">т. 5 „Бюджет“ от </w:t>
      </w:r>
      <w:r w:rsidR="000E0667" w:rsidRPr="003C4AB6">
        <w:rPr>
          <w:sz w:val="24"/>
          <w:szCs w:val="24"/>
        </w:rPr>
        <w:t>Ф</w:t>
      </w:r>
      <w:r w:rsidR="00AB0752" w:rsidRPr="003C4AB6">
        <w:rPr>
          <w:sz w:val="24"/>
          <w:szCs w:val="24"/>
        </w:rPr>
        <w:t>ормуляр</w:t>
      </w:r>
      <w:r w:rsidR="000E0667" w:rsidRPr="003C4AB6">
        <w:rPr>
          <w:sz w:val="24"/>
          <w:szCs w:val="24"/>
        </w:rPr>
        <w:t>а</w:t>
      </w:r>
      <w:r w:rsidR="00AB0752" w:rsidRPr="003C4AB6">
        <w:rPr>
          <w:sz w:val="24"/>
          <w:szCs w:val="24"/>
        </w:rPr>
        <w:t xml:space="preserve"> за кандидатстване</w:t>
      </w:r>
      <w:r w:rsidR="00B25A69" w:rsidRPr="003C4AB6">
        <w:rPr>
          <w:sz w:val="24"/>
          <w:szCs w:val="24"/>
        </w:rPr>
        <w:t xml:space="preserve"> </w:t>
      </w:r>
      <w:r w:rsidRPr="003C4AB6">
        <w:rPr>
          <w:sz w:val="24"/>
          <w:szCs w:val="24"/>
        </w:rPr>
        <w:t>следва да се има предвид, че той ще бъде разходван като се спазват правилата на приложимото национално</w:t>
      </w:r>
      <w:r w:rsidR="006E04F4" w:rsidRPr="003C4AB6">
        <w:rPr>
          <w:sz w:val="24"/>
          <w:szCs w:val="24"/>
        </w:rPr>
        <w:t xml:space="preserve"> законодателство, както следва:</w:t>
      </w:r>
    </w:p>
    <w:p w:rsidR="006E04F4" w:rsidRPr="003C4AB6" w:rsidRDefault="00132D5C"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C6082C">
        <w:rPr>
          <w:sz w:val="24"/>
          <w:szCs w:val="24"/>
        </w:rPr>
        <w:t xml:space="preserve">- </w:t>
      </w:r>
      <w:r w:rsidR="002E3EFA" w:rsidRPr="00C6082C">
        <w:rPr>
          <w:sz w:val="24"/>
          <w:szCs w:val="24"/>
        </w:rPr>
        <w:t>Б</w:t>
      </w:r>
      <w:r w:rsidRPr="00C6082C">
        <w:rPr>
          <w:sz w:val="24"/>
          <w:szCs w:val="24"/>
        </w:rPr>
        <w:t xml:space="preserve">енефициентите, които не се явяват възложители по ЗОП прилагат </w:t>
      </w:r>
      <w:r w:rsidR="00443247" w:rsidRPr="00C6082C">
        <w:rPr>
          <w:sz w:val="24"/>
          <w:szCs w:val="24"/>
        </w:rPr>
        <w:t>Глава четвърта от ЗУСЕСИФ</w:t>
      </w:r>
      <w:r w:rsidR="002E3EFA" w:rsidRPr="00C6082C">
        <w:rPr>
          <w:sz w:val="24"/>
          <w:szCs w:val="24"/>
        </w:rPr>
        <w:t xml:space="preserve"> за условията и реда за определяне на изпълнител от страна на бенефициенти на безвъзмездна финансова помощ</w:t>
      </w:r>
      <w:r w:rsidR="006E04F4" w:rsidRPr="00C6082C">
        <w:rPr>
          <w:sz w:val="24"/>
          <w:szCs w:val="24"/>
        </w:rPr>
        <w:t>;</w:t>
      </w:r>
    </w:p>
    <w:p w:rsidR="006E04F4" w:rsidRPr="003C4AB6" w:rsidRDefault="00132D5C"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 xml:space="preserve">-  Закон за обществените поръчки и </w:t>
      </w:r>
      <w:r w:rsidR="006E04F4" w:rsidRPr="003C4AB6">
        <w:rPr>
          <w:sz w:val="24"/>
          <w:szCs w:val="24"/>
        </w:rPr>
        <w:t>актовете по неговото прилагане.</w:t>
      </w:r>
    </w:p>
    <w:p w:rsidR="006E04F4" w:rsidRPr="003C4AB6" w:rsidRDefault="00132D5C"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lastRenderedPageBreak/>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w:t>
      </w:r>
      <w:r w:rsidR="006E04F4" w:rsidRPr="003C4AB6">
        <w:rPr>
          <w:sz w:val="24"/>
          <w:szCs w:val="24"/>
        </w:rPr>
        <w:t>а посочените нормативни актове.</w:t>
      </w:r>
    </w:p>
    <w:p w:rsidR="009253F4" w:rsidRPr="003C4AB6" w:rsidRDefault="00132D5C" w:rsidP="006E04F4">
      <w:pPr>
        <w:pBdr>
          <w:top w:val="single" w:sz="4" w:space="1" w:color="auto"/>
          <w:left w:val="single" w:sz="4" w:space="4" w:color="auto"/>
          <w:bottom w:val="single" w:sz="4" w:space="0" w:color="auto"/>
          <w:right w:val="single" w:sz="4" w:space="4" w:color="auto"/>
        </w:pBdr>
        <w:spacing w:after="120" w:line="240" w:lineRule="auto"/>
        <w:jc w:val="both"/>
        <w:rPr>
          <w:sz w:val="24"/>
          <w:szCs w:val="24"/>
        </w:rPr>
      </w:pPr>
      <w:r w:rsidRPr="003C4AB6">
        <w:rPr>
          <w:sz w:val="24"/>
          <w:szCs w:val="24"/>
        </w:rPr>
        <w:t xml:space="preserve">Кандидатът носи цялата отговорност за верността на финансовата информация, представена в </w:t>
      </w:r>
      <w:r w:rsidR="00F94597" w:rsidRPr="003C4AB6">
        <w:rPr>
          <w:sz w:val="24"/>
          <w:szCs w:val="24"/>
        </w:rPr>
        <w:t>т. 5 „Б</w:t>
      </w:r>
      <w:r w:rsidRPr="003C4AB6">
        <w:rPr>
          <w:sz w:val="24"/>
          <w:szCs w:val="24"/>
        </w:rPr>
        <w:t>юджет</w:t>
      </w:r>
      <w:r w:rsidR="00F94597" w:rsidRPr="003C4AB6">
        <w:rPr>
          <w:sz w:val="24"/>
          <w:szCs w:val="24"/>
        </w:rPr>
        <w:t xml:space="preserve">“ от </w:t>
      </w:r>
      <w:r w:rsidR="00313B3D" w:rsidRPr="003C4AB6">
        <w:rPr>
          <w:sz w:val="24"/>
          <w:szCs w:val="24"/>
        </w:rPr>
        <w:t>Ф</w:t>
      </w:r>
      <w:r w:rsidR="00F94597" w:rsidRPr="003C4AB6">
        <w:rPr>
          <w:sz w:val="24"/>
          <w:szCs w:val="24"/>
        </w:rPr>
        <w:t>ормуляр</w:t>
      </w:r>
      <w:r w:rsidR="00313B3D" w:rsidRPr="003C4AB6">
        <w:rPr>
          <w:sz w:val="24"/>
          <w:szCs w:val="24"/>
        </w:rPr>
        <w:t>а</w:t>
      </w:r>
      <w:r w:rsidR="00F94597" w:rsidRPr="003C4AB6">
        <w:rPr>
          <w:sz w:val="24"/>
          <w:szCs w:val="24"/>
        </w:rPr>
        <w:t xml:space="preserve"> за кандидатстване</w:t>
      </w:r>
      <w:r w:rsidRPr="003C4AB6">
        <w:rPr>
          <w:sz w:val="24"/>
          <w:szCs w:val="24"/>
        </w:rPr>
        <w:t>.</w:t>
      </w:r>
    </w:p>
    <w:p w:rsidR="004A58E5" w:rsidRPr="003C4AB6" w:rsidRDefault="004A58E5" w:rsidP="006E7D2F">
      <w:pPr>
        <w:pStyle w:val="ListParagraph"/>
        <w:spacing w:after="0" w:line="240" w:lineRule="auto"/>
        <w:ind w:left="0"/>
        <w:jc w:val="both"/>
        <w:rPr>
          <w:b/>
          <w:sz w:val="10"/>
          <w:szCs w:val="10"/>
        </w:rPr>
      </w:pPr>
      <w:r w:rsidRPr="003C4AB6">
        <w:rPr>
          <w:b/>
          <w:sz w:val="10"/>
          <w:szCs w:val="10"/>
        </w:rPr>
        <w:t xml:space="preserve">  </w:t>
      </w:r>
    </w:p>
    <w:p w:rsidR="00E4760E" w:rsidRPr="003C4AB6" w:rsidRDefault="00E4760E" w:rsidP="006E7D2F">
      <w:pPr>
        <w:pStyle w:val="ListParagraph"/>
        <w:spacing w:after="0" w:line="240" w:lineRule="auto"/>
        <w:ind w:left="0"/>
        <w:jc w:val="both"/>
        <w:rPr>
          <w:b/>
          <w:sz w:val="10"/>
          <w:szCs w:val="10"/>
        </w:rPr>
      </w:pPr>
    </w:p>
    <w:p w:rsidR="004A58E5" w:rsidRPr="003C4AB6" w:rsidRDefault="004A58E5" w:rsidP="00E4760E">
      <w:pPr>
        <w:pStyle w:val="Heading2"/>
        <w:spacing w:before="120" w:after="120"/>
      </w:pPr>
      <w:bookmarkStart w:id="33" w:name="_Toc442298736"/>
      <w:r w:rsidRPr="003C4AB6">
        <w:t>2</w:t>
      </w:r>
      <w:r w:rsidR="007C1B34">
        <w:t>4</w:t>
      </w:r>
      <w:r w:rsidRPr="003C4AB6">
        <w:t>. Списък на документите, които се подават на етап кандидатстване:</w:t>
      </w:r>
      <w:bookmarkEnd w:id="33"/>
    </w:p>
    <w:p w:rsidR="001C5D96" w:rsidRPr="003C4AB6" w:rsidRDefault="00AA285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Кандидатите по процедурата за безвъзмездна финансова помощ следва да представят следните документи</w:t>
      </w:r>
      <w:r w:rsidR="00127237" w:rsidRPr="003C4AB6">
        <w:rPr>
          <w:sz w:val="24"/>
          <w:szCs w:val="24"/>
        </w:rPr>
        <w:t>, по изцяло електронен път чрез ИСУН 2020 с помощта на КЕП</w:t>
      </w:r>
      <w:r w:rsidRPr="003C4AB6">
        <w:rPr>
          <w:sz w:val="24"/>
          <w:szCs w:val="24"/>
        </w:rPr>
        <w:t>:</w:t>
      </w:r>
    </w:p>
    <w:p w:rsidR="00510ACF" w:rsidRPr="003C4AB6" w:rsidRDefault="00510ACF"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510ACF" w:rsidRPr="003C4AB6" w:rsidRDefault="00510ACF"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b/>
          <w:sz w:val="24"/>
          <w:szCs w:val="24"/>
        </w:rPr>
        <w:t xml:space="preserve">ВАЖНО: </w:t>
      </w:r>
      <w:r w:rsidRPr="003C4AB6">
        <w:rPr>
          <w:sz w:val="24"/>
          <w:szCs w:val="24"/>
        </w:rPr>
        <w:t xml:space="preserve">За целите на настоящите </w:t>
      </w:r>
      <w:r w:rsidR="007B1E28">
        <w:rPr>
          <w:sz w:val="24"/>
          <w:szCs w:val="24"/>
        </w:rPr>
        <w:t>Условия</w:t>
      </w:r>
      <w:r w:rsidRPr="003C4AB6">
        <w:rPr>
          <w:sz w:val="24"/>
          <w:szCs w:val="24"/>
        </w:rPr>
        <w:t xml:space="preserve"> под „лице с право да представлява кандидата“ следва да се разбира официален представител на предприятието-кандидат.</w:t>
      </w:r>
    </w:p>
    <w:p w:rsidR="00570181" w:rsidRPr="003C4AB6" w:rsidRDefault="00570181"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ED464F" w:rsidRPr="003C4AB6" w:rsidRDefault="002044FC"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b/>
          <w:sz w:val="24"/>
          <w:szCs w:val="24"/>
        </w:rPr>
        <w:t>а</w:t>
      </w:r>
      <w:r w:rsidR="00383FF6" w:rsidRPr="003C4AB6">
        <w:rPr>
          <w:b/>
          <w:sz w:val="24"/>
          <w:szCs w:val="24"/>
        </w:rPr>
        <w:t xml:space="preserve">/ </w:t>
      </w:r>
      <w:r w:rsidR="00ED464F" w:rsidRPr="003C4AB6">
        <w:rPr>
          <w:sz w:val="24"/>
          <w:szCs w:val="24"/>
        </w:rPr>
        <w:t>Декларация, че кандидатът е запознат с условията за кандидатстване</w:t>
      </w:r>
      <w:r w:rsidR="00171B8A" w:rsidRPr="00171B8A">
        <w:rPr>
          <w:sz w:val="24"/>
          <w:szCs w:val="24"/>
        </w:rPr>
        <w:t xml:space="preserve"> и условията за изпълнение</w:t>
      </w:r>
      <w:r w:rsidR="00ED464F" w:rsidRPr="003C4AB6">
        <w:rPr>
          <w:sz w:val="24"/>
          <w:szCs w:val="24"/>
        </w:rPr>
        <w:t xml:space="preserve"> – попълнена по образец (Приложение Б) към </w:t>
      </w:r>
      <w:r w:rsidR="007B1E28">
        <w:rPr>
          <w:sz w:val="24"/>
          <w:szCs w:val="24"/>
        </w:rPr>
        <w:t>Условия</w:t>
      </w:r>
      <w:r w:rsidR="00ED464F" w:rsidRPr="003C4AB6">
        <w:rPr>
          <w:sz w:val="24"/>
          <w:szCs w:val="24"/>
        </w:rPr>
        <w:t>т</w:t>
      </w:r>
      <w:r w:rsidR="005349F3">
        <w:rPr>
          <w:sz w:val="24"/>
          <w:szCs w:val="24"/>
        </w:rPr>
        <w:t>а</w:t>
      </w:r>
      <w:r w:rsidR="00ED464F" w:rsidRPr="003C4AB6">
        <w:rPr>
          <w:sz w:val="24"/>
          <w:szCs w:val="24"/>
        </w:rPr>
        <w:t xml:space="preserve"> за кандидатстване </w:t>
      </w:r>
      <w:r w:rsidR="00ED464F" w:rsidRPr="003C4AB6">
        <w:rPr>
          <w:b/>
          <w:sz w:val="24"/>
          <w:szCs w:val="24"/>
        </w:rPr>
        <w:t>–</w:t>
      </w:r>
      <w:r w:rsidR="00ED464F" w:rsidRPr="003C4AB6">
        <w:rPr>
          <w:b/>
        </w:rPr>
        <w:t xml:space="preserve"> </w:t>
      </w:r>
      <w:r w:rsidR="00ED464F" w:rsidRPr="003C4AB6">
        <w:rPr>
          <w:b/>
          <w:sz w:val="24"/>
          <w:szCs w:val="24"/>
        </w:rPr>
        <w:t>подписана с КЕП  и  прикачена в ИСУН 2020.</w:t>
      </w:r>
      <w:r w:rsidR="00ED464F" w:rsidRPr="003C4AB6" w:rsidDel="00D55411">
        <w:rPr>
          <w:b/>
          <w:sz w:val="24"/>
          <w:szCs w:val="24"/>
        </w:rPr>
        <w:t xml:space="preserve"> </w:t>
      </w:r>
    </w:p>
    <w:p w:rsidR="00C13086" w:rsidRPr="003C4AB6" w:rsidRDefault="00C1308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p>
    <w:p w:rsidR="00D55411" w:rsidRDefault="00BE0F5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b/>
          <w:sz w:val="24"/>
          <w:szCs w:val="24"/>
        </w:rPr>
        <w:t>б/</w:t>
      </w:r>
      <w:r w:rsidRPr="003C4AB6">
        <w:rPr>
          <w:sz w:val="24"/>
          <w:szCs w:val="24"/>
        </w:rPr>
        <w:t xml:space="preserve"> </w:t>
      </w:r>
      <w:r w:rsidR="00ED464F" w:rsidRPr="00485AF5">
        <w:rPr>
          <w:sz w:val="24"/>
          <w:szCs w:val="24"/>
        </w:rPr>
        <w:t>Декларация по чл. 9, ал. 8, т. 1 на ПМС № 107/10.05.2014</w:t>
      </w:r>
      <w:r w:rsidR="00ED464F" w:rsidRPr="003C4AB6">
        <w:rPr>
          <w:sz w:val="24"/>
          <w:szCs w:val="24"/>
        </w:rPr>
        <w:t xml:space="preserve"> </w:t>
      </w:r>
      <w:r w:rsidR="00754AA9">
        <w:rPr>
          <w:sz w:val="24"/>
          <w:szCs w:val="24"/>
        </w:rPr>
        <w:t xml:space="preserve">и </w:t>
      </w:r>
      <w:r w:rsidR="00754AA9" w:rsidRPr="00754AA9">
        <w:rPr>
          <w:sz w:val="24"/>
          <w:szCs w:val="24"/>
        </w:rPr>
        <w:t xml:space="preserve">чл. 25, ал. 2 от Закона за управление на средствата от европейските структурни и инвестиционни фондове </w:t>
      </w:r>
      <w:r w:rsidR="00ED464F" w:rsidRPr="003C4AB6">
        <w:rPr>
          <w:sz w:val="24"/>
          <w:szCs w:val="24"/>
        </w:rPr>
        <w:t>– попълнена по образец</w:t>
      </w:r>
      <w:r w:rsidR="004743ED" w:rsidRPr="003C4AB6">
        <w:rPr>
          <w:sz w:val="24"/>
          <w:szCs w:val="24"/>
        </w:rPr>
        <w:t xml:space="preserve"> (Приложение В</w:t>
      </w:r>
      <w:r w:rsidR="00ED464F" w:rsidRPr="003C4AB6">
        <w:rPr>
          <w:sz w:val="24"/>
          <w:szCs w:val="24"/>
        </w:rPr>
        <w:t xml:space="preserve">) към </w:t>
      </w:r>
      <w:r w:rsidR="007B1E28">
        <w:rPr>
          <w:sz w:val="24"/>
          <w:szCs w:val="24"/>
        </w:rPr>
        <w:t>Условия</w:t>
      </w:r>
      <w:r w:rsidR="00ED464F" w:rsidRPr="003C4AB6">
        <w:rPr>
          <w:sz w:val="24"/>
          <w:szCs w:val="24"/>
        </w:rPr>
        <w:t>т</w:t>
      </w:r>
      <w:r w:rsidR="005349F3">
        <w:rPr>
          <w:sz w:val="24"/>
          <w:szCs w:val="24"/>
        </w:rPr>
        <w:t>а</w:t>
      </w:r>
      <w:r w:rsidR="00ED464F" w:rsidRPr="003C4AB6">
        <w:rPr>
          <w:sz w:val="24"/>
          <w:szCs w:val="24"/>
        </w:rPr>
        <w:t xml:space="preserve"> за кандидатстване – </w:t>
      </w:r>
      <w:r w:rsidR="00ED464F" w:rsidRPr="003C4AB6">
        <w:rPr>
          <w:b/>
          <w:sz w:val="24"/>
          <w:szCs w:val="24"/>
        </w:rPr>
        <w:t>подписана с КЕП  и  прикачена в ИСУН 2020;</w:t>
      </w:r>
    </w:p>
    <w:p w:rsidR="002A600D" w:rsidRDefault="002A600D"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p>
    <w:p w:rsidR="00EA48B4" w:rsidRPr="003C4AB6" w:rsidRDefault="00E35A4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b/>
          <w:sz w:val="24"/>
          <w:szCs w:val="24"/>
        </w:rPr>
        <w:t>в</w:t>
      </w:r>
      <w:r w:rsidR="00EE4073" w:rsidRPr="003C4AB6">
        <w:rPr>
          <w:b/>
          <w:sz w:val="24"/>
          <w:szCs w:val="24"/>
        </w:rPr>
        <w:t xml:space="preserve">/ </w:t>
      </w:r>
      <w:r w:rsidR="004743ED" w:rsidRPr="003C4AB6">
        <w:rPr>
          <w:sz w:val="24"/>
          <w:szCs w:val="24"/>
        </w:rPr>
        <w:t>Декларация за минимални помощи – поп</w:t>
      </w:r>
      <w:r w:rsidR="00B46E46" w:rsidRPr="003C4AB6">
        <w:rPr>
          <w:sz w:val="24"/>
          <w:szCs w:val="24"/>
        </w:rPr>
        <w:t>ълнена по образец (Приложение Г</w:t>
      </w:r>
      <w:r w:rsidR="004743ED" w:rsidRPr="003C4AB6">
        <w:rPr>
          <w:sz w:val="24"/>
          <w:szCs w:val="24"/>
        </w:rPr>
        <w:t xml:space="preserve">) към </w:t>
      </w:r>
      <w:r w:rsidR="007B1E28">
        <w:rPr>
          <w:sz w:val="24"/>
          <w:szCs w:val="24"/>
        </w:rPr>
        <w:t>Условия</w:t>
      </w:r>
      <w:r w:rsidR="004743ED" w:rsidRPr="003C4AB6">
        <w:rPr>
          <w:sz w:val="24"/>
          <w:szCs w:val="24"/>
        </w:rPr>
        <w:t>т</w:t>
      </w:r>
      <w:r w:rsidR="005349F3">
        <w:rPr>
          <w:sz w:val="24"/>
          <w:szCs w:val="24"/>
        </w:rPr>
        <w:t>а</w:t>
      </w:r>
      <w:r w:rsidR="004743ED" w:rsidRPr="003C4AB6">
        <w:rPr>
          <w:sz w:val="24"/>
          <w:szCs w:val="24"/>
        </w:rPr>
        <w:t xml:space="preserve"> за кандидатстване </w:t>
      </w:r>
      <w:r w:rsidR="004743ED" w:rsidRPr="003C4AB6">
        <w:rPr>
          <w:b/>
          <w:sz w:val="24"/>
          <w:szCs w:val="24"/>
        </w:rPr>
        <w:t>– подписана с КЕП  и  прикачена в ИСУН 2020;</w:t>
      </w:r>
    </w:p>
    <w:p w:rsidR="001C5D96" w:rsidRPr="003C4AB6" w:rsidRDefault="001C5D9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p>
    <w:p w:rsidR="00CD1A15" w:rsidRPr="003C4AB6" w:rsidRDefault="00AC3DF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b/>
          <w:sz w:val="24"/>
          <w:szCs w:val="24"/>
        </w:rPr>
        <w:t>г</w:t>
      </w:r>
      <w:r w:rsidR="005A6D4F" w:rsidRPr="003C4AB6">
        <w:rPr>
          <w:b/>
          <w:sz w:val="24"/>
          <w:szCs w:val="24"/>
        </w:rPr>
        <w:t xml:space="preserve">/ </w:t>
      </w:r>
      <w:r w:rsidR="00CD1A15" w:rsidRPr="003C4AB6">
        <w:rPr>
          <w:sz w:val="24"/>
          <w:szCs w:val="24"/>
        </w:rPr>
        <w:t xml:space="preserve">Декларация за обстоятелствата по чл. 3 и чл. 4 от Закона за малките и средните предприятия – попълнена по образец (Приложение Д) към </w:t>
      </w:r>
      <w:r w:rsidR="007B1E28">
        <w:rPr>
          <w:sz w:val="24"/>
          <w:szCs w:val="24"/>
        </w:rPr>
        <w:t>Условия</w:t>
      </w:r>
      <w:r w:rsidR="00CD1A15" w:rsidRPr="003C4AB6">
        <w:rPr>
          <w:sz w:val="24"/>
          <w:szCs w:val="24"/>
        </w:rPr>
        <w:t>т</w:t>
      </w:r>
      <w:r w:rsidR="005349F3">
        <w:rPr>
          <w:sz w:val="24"/>
          <w:szCs w:val="24"/>
        </w:rPr>
        <w:t>а</w:t>
      </w:r>
      <w:r w:rsidR="00CD1A15" w:rsidRPr="003C4AB6">
        <w:rPr>
          <w:sz w:val="24"/>
          <w:szCs w:val="24"/>
        </w:rPr>
        <w:t xml:space="preserve"> за кандидатстване – </w:t>
      </w:r>
      <w:r w:rsidR="00CD1A15" w:rsidRPr="003C4AB6">
        <w:rPr>
          <w:b/>
          <w:sz w:val="24"/>
          <w:szCs w:val="24"/>
        </w:rPr>
        <w:t>подписана с КЕП  и  прикачена в ИСУН 2020;</w:t>
      </w:r>
    </w:p>
    <w:p w:rsidR="00233983" w:rsidRPr="003C4AB6" w:rsidRDefault="0023398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CD1A15" w:rsidRDefault="00AC3DF0" w:rsidP="00CD1A1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b/>
          <w:sz w:val="24"/>
          <w:szCs w:val="24"/>
        </w:rPr>
        <w:t>д</w:t>
      </w:r>
      <w:r w:rsidR="009C519B" w:rsidRPr="003C4AB6">
        <w:rPr>
          <w:b/>
          <w:sz w:val="24"/>
          <w:szCs w:val="24"/>
        </w:rPr>
        <w:t>/</w:t>
      </w:r>
      <w:r w:rsidR="009C519B" w:rsidRPr="003C4AB6">
        <w:rPr>
          <w:sz w:val="24"/>
          <w:szCs w:val="24"/>
        </w:rPr>
        <w:t xml:space="preserve"> </w:t>
      </w:r>
      <w:r w:rsidR="00CD1A15" w:rsidRPr="003C4AB6">
        <w:rPr>
          <w:sz w:val="24"/>
          <w:szCs w:val="24"/>
        </w:rPr>
        <w:t xml:space="preserve">Декларация за ненарушаване на чужди права върху интелектуална собственост - попълнена по образец (Приложение Е) към </w:t>
      </w:r>
      <w:r w:rsidR="007B1E28">
        <w:rPr>
          <w:sz w:val="24"/>
          <w:szCs w:val="24"/>
        </w:rPr>
        <w:t>Условия</w:t>
      </w:r>
      <w:r w:rsidR="00CD1A15" w:rsidRPr="003C4AB6">
        <w:rPr>
          <w:sz w:val="24"/>
          <w:szCs w:val="24"/>
        </w:rPr>
        <w:t>т</w:t>
      </w:r>
      <w:r w:rsidR="005349F3">
        <w:rPr>
          <w:sz w:val="24"/>
          <w:szCs w:val="24"/>
        </w:rPr>
        <w:t>а</w:t>
      </w:r>
      <w:r w:rsidR="00CD1A15" w:rsidRPr="003C4AB6">
        <w:rPr>
          <w:sz w:val="24"/>
          <w:szCs w:val="24"/>
        </w:rPr>
        <w:t xml:space="preserve"> за кандидатстване – </w:t>
      </w:r>
      <w:r w:rsidR="00CD1A15" w:rsidRPr="003C4AB6">
        <w:rPr>
          <w:b/>
          <w:sz w:val="24"/>
          <w:szCs w:val="24"/>
        </w:rPr>
        <w:t>подписана с КЕП  и  прикачена в ИСУН 2020;</w:t>
      </w:r>
    </w:p>
    <w:p w:rsidR="002A600D" w:rsidRPr="003C4AB6" w:rsidRDefault="002A600D" w:rsidP="00CD1A1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p>
    <w:p w:rsidR="00545AA7" w:rsidRPr="003C4AB6" w:rsidRDefault="00FF2554" w:rsidP="00545A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b/>
          <w:sz w:val="24"/>
          <w:szCs w:val="24"/>
        </w:rPr>
        <w:t xml:space="preserve">ВАЖНО: </w:t>
      </w:r>
      <w:r w:rsidR="00996127" w:rsidRPr="003C4AB6">
        <w:rPr>
          <w:rFonts w:ascii="Calibri" w:eastAsia="Calibri" w:hAnsi="Calibri" w:cs="Times New Roman"/>
          <w:sz w:val="24"/>
          <w:szCs w:val="24"/>
        </w:rPr>
        <w:t xml:space="preserve">Официалният/те представител/и на кандидата няма/т право да упълномощава/т други лица да подписват декларациите </w:t>
      </w:r>
      <w:r w:rsidR="00EE4073" w:rsidRPr="003C4AB6">
        <w:rPr>
          <w:sz w:val="24"/>
          <w:szCs w:val="24"/>
        </w:rPr>
        <w:t xml:space="preserve">по букви </w:t>
      </w:r>
      <w:r w:rsidR="00CA759D" w:rsidRPr="003C4AB6">
        <w:rPr>
          <w:sz w:val="24"/>
          <w:szCs w:val="24"/>
        </w:rPr>
        <w:t xml:space="preserve">а/, </w:t>
      </w:r>
      <w:r w:rsidR="00EE4073" w:rsidRPr="003C4AB6">
        <w:rPr>
          <w:sz w:val="24"/>
          <w:szCs w:val="24"/>
        </w:rPr>
        <w:t xml:space="preserve">б/, </w:t>
      </w:r>
      <w:r w:rsidR="000239A1" w:rsidRPr="003C4AB6">
        <w:rPr>
          <w:sz w:val="24"/>
          <w:szCs w:val="24"/>
        </w:rPr>
        <w:t>в</w:t>
      </w:r>
      <w:r w:rsidR="00EE4073" w:rsidRPr="003C4AB6">
        <w:rPr>
          <w:sz w:val="24"/>
          <w:szCs w:val="24"/>
        </w:rPr>
        <w:t xml:space="preserve">/, </w:t>
      </w:r>
      <w:r w:rsidR="000239A1" w:rsidRPr="003C4AB6">
        <w:rPr>
          <w:sz w:val="24"/>
          <w:szCs w:val="24"/>
        </w:rPr>
        <w:t>г</w:t>
      </w:r>
      <w:r w:rsidR="00EE4073" w:rsidRPr="003C4AB6">
        <w:rPr>
          <w:sz w:val="24"/>
          <w:szCs w:val="24"/>
        </w:rPr>
        <w:t>/</w:t>
      </w:r>
      <w:r w:rsidR="00A107A4">
        <w:rPr>
          <w:sz w:val="24"/>
          <w:szCs w:val="24"/>
        </w:rPr>
        <w:t xml:space="preserve"> и</w:t>
      </w:r>
      <w:r w:rsidR="00CA759D" w:rsidRPr="003C4AB6">
        <w:rPr>
          <w:sz w:val="24"/>
          <w:szCs w:val="24"/>
        </w:rPr>
        <w:t xml:space="preserve"> </w:t>
      </w:r>
      <w:r w:rsidR="00F4556D" w:rsidRPr="003C4AB6">
        <w:rPr>
          <w:sz w:val="24"/>
          <w:szCs w:val="24"/>
        </w:rPr>
        <w:t>д/</w:t>
      </w:r>
      <w:r w:rsidR="004B50E4">
        <w:rPr>
          <w:sz w:val="24"/>
          <w:szCs w:val="24"/>
        </w:rPr>
        <w:t xml:space="preserve"> </w:t>
      </w:r>
      <w:r w:rsidR="00996127" w:rsidRPr="003C4AB6">
        <w:rPr>
          <w:sz w:val="24"/>
          <w:szCs w:val="24"/>
        </w:rPr>
        <w:t>, тъй като с тях</w:t>
      </w:r>
      <w:r w:rsidR="00CA759D" w:rsidRPr="003C4AB6">
        <w:rPr>
          <w:sz w:val="24"/>
          <w:szCs w:val="24"/>
        </w:rPr>
        <w:t xml:space="preserve"> </w:t>
      </w:r>
      <w:r w:rsidRPr="003C4AB6">
        <w:rPr>
          <w:sz w:val="24"/>
          <w:szCs w:val="24"/>
        </w:rPr>
        <w:t xml:space="preserve">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4D2A6F" w:rsidRPr="003C4AB6" w:rsidRDefault="004D2A6F" w:rsidP="00545A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545AA7" w:rsidRPr="003C4AB6" w:rsidRDefault="00FF2554" w:rsidP="00545AA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sz w:val="24"/>
          <w:szCs w:val="24"/>
        </w:rPr>
        <w:lastRenderedPageBreak/>
        <w:t xml:space="preserve">Декларациите по </w:t>
      </w:r>
      <w:r w:rsidR="00E84C58" w:rsidRPr="003C4AB6">
        <w:rPr>
          <w:sz w:val="24"/>
          <w:szCs w:val="24"/>
        </w:rPr>
        <w:t>букви</w:t>
      </w:r>
      <w:r w:rsidRPr="003C4AB6">
        <w:rPr>
          <w:sz w:val="24"/>
          <w:szCs w:val="24"/>
        </w:rPr>
        <w:t xml:space="preserve"> </w:t>
      </w:r>
      <w:r w:rsidR="00075915" w:rsidRPr="003C4AB6">
        <w:rPr>
          <w:sz w:val="24"/>
          <w:szCs w:val="24"/>
        </w:rPr>
        <w:t>а</w:t>
      </w:r>
      <w:r w:rsidR="00E84C58" w:rsidRPr="003C4AB6">
        <w:rPr>
          <w:sz w:val="24"/>
          <w:szCs w:val="24"/>
        </w:rPr>
        <w:t>/</w:t>
      </w:r>
      <w:r w:rsidR="00247485" w:rsidRPr="003C4AB6">
        <w:rPr>
          <w:sz w:val="24"/>
          <w:szCs w:val="24"/>
        </w:rPr>
        <w:t>,</w:t>
      </w:r>
      <w:r w:rsidR="00075915" w:rsidRPr="003C4AB6">
        <w:rPr>
          <w:sz w:val="24"/>
          <w:szCs w:val="24"/>
        </w:rPr>
        <w:t xml:space="preserve"> в/,</w:t>
      </w:r>
      <w:r w:rsidR="00CC6BB0" w:rsidRPr="003C4AB6">
        <w:rPr>
          <w:sz w:val="24"/>
          <w:szCs w:val="24"/>
        </w:rPr>
        <w:t xml:space="preserve"> </w:t>
      </w:r>
      <w:r w:rsidR="000239A1" w:rsidRPr="003C4AB6">
        <w:rPr>
          <w:sz w:val="24"/>
          <w:szCs w:val="24"/>
        </w:rPr>
        <w:t>г</w:t>
      </w:r>
      <w:r w:rsidR="00E84C58" w:rsidRPr="003C4AB6">
        <w:rPr>
          <w:sz w:val="24"/>
          <w:szCs w:val="24"/>
        </w:rPr>
        <w:t>/</w:t>
      </w:r>
      <w:r w:rsidR="00075915" w:rsidRPr="003C4AB6">
        <w:rPr>
          <w:sz w:val="24"/>
          <w:szCs w:val="24"/>
        </w:rPr>
        <w:t xml:space="preserve"> и</w:t>
      </w:r>
      <w:r w:rsidR="00F4556D" w:rsidRPr="003C4AB6">
        <w:rPr>
          <w:sz w:val="24"/>
          <w:szCs w:val="24"/>
        </w:rPr>
        <w:t xml:space="preserve"> д/</w:t>
      </w:r>
      <w:r w:rsidR="00075915" w:rsidRPr="003C4AB6">
        <w:rPr>
          <w:sz w:val="24"/>
          <w:szCs w:val="24"/>
        </w:rPr>
        <w:t xml:space="preserve"> </w:t>
      </w:r>
      <w:r w:rsidRPr="003C4AB6">
        <w:rPr>
          <w:sz w:val="24"/>
          <w:szCs w:val="24"/>
        </w:rPr>
        <w:t xml:space="preserve">се подписват </w:t>
      </w:r>
      <w:r w:rsidR="00EE4073" w:rsidRPr="003C4AB6">
        <w:rPr>
          <w:sz w:val="24"/>
          <w:szCs w:val="24"/>
        </w:rPr>
        <w:t>и попълват</w:t>
      </w:r>
      <w:r w:rsidR="00247485" w:rsidRPr="003C4AB6">
        <w:rPr>
          <w:sz w:val="24"/>
          <w:szCs w:val="24"/>
        </w:rPr>
        <w:t xml:space="preserve"> </w:t>
      </w:r>
      <w:r w:rsidRPr="003C4AB6">
        <w:rPr>
          <w:sz w:val="24"/>
          <w:szCs w:val="24"/>
        </w:rPr>
        <w:t xml:space="preserve">от лице с право да представлява кандидата. В случаите, когато кандидатът се представлява </w:t>
      </w:r>
      <w:r w:rsidRPr="003C4AB6">
        <w:rPr>
          <w:sz w:val="24"/>
          <w:szCs w:val="24"/>
          <w:u w:val="single"/>
        </w:rPr>
        <w:t>заедно</w:t>
      </w:r>
      <w:r w:rsidRPr="003C4AB6">
        <w:rPr>
          <w:sz w:val="24"/>
          <w:szCs w:val="24"/>
        </w:rPr>
        <w:t xml:space="preserve"> от няколко физически лица, се попълват данните и декларациите се подписват от всяко от тях. </w:t>
      </w:r>
    </w:p>
    <w:p w:rsidR="004D2A6F" w:rsidRPr="003C4AB6" w:rsidRDefault="004D2A6F" w:rsidP="00AF033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AF0336" w:rsidRPr="003C4AB6" w:rsidRDefault="00247485" w:rsidP="00AF033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3C4AB6">
        <w:rPr>
          <w:sz w:val="24"/>
          <w:szCs w:val="24"/>
        </w:rPr>
        <w:t>Деклараци</w:t>
      </w:r>
      <w:r w:rsidR="00A107A4">
        <w:rPr>
          <w:sz w:val="24"/>
          <w:szCs w:val="24"/>
        </w:rPr>
        <w:t>ята</w:t>
      </w:r>
      <w:r w:rsidRPr="003C4AB6">
        <w:rPr>
          <w:sz w:val="24"/>
          <w:szCs w:val="24"/>
        </w:rPr>
        <w:t xml:space="preserve"> по </w:t>
      </w:r>
      <w:r w:rsidR="00E84C58" w:rsidRPr="003C4AB6">
        <w:rPr>
          <w:sz w:val="24"/>
          <w:szCs w:val="24"/>
        </w:rPr>
        <w:t>букв</w:t>
      </w:r>
      <w:r w:rsidR="00A107A4">
        <w:rPr>
          <w:sz w:val="24"/>
          <w:szCs w:val="24"/>
        </w:rPr>
        <w:t>а</w:t>
      </w:r>
      <w:r w:rsidR="00C37CCC" w:rsidRPr="003C4AB6">
        <w:rPr>
          <w:sz w:val="24"/>
          <w:szCs w:val="24"/>
        </w:rPr>
        <w:t xml:space="preserve"> </w:t>
      </w:r>
      <w:r w:rsidR="00AF0336" w:rsidRPr="003C4AB6">
        <w:rPr>
          <w:sz w:val="24"/>
          <w:szCs w:val="24"/>
        </w:rPr>
        <w:t>б</w:t>
      </w:r>
      <w:r w:rsidR="00E84C58" w:rsidRPr="003C4AB6">
        <w:rPr>
          <w:sz w:val="24"/>
          <w:szCs w:val="24"/>
        </w:rPr>
        <w:t>/</w:t>
      </w:r>
      <w:r w:rsidRPr="003C4AB6">
        <w:rPr>
          <w:sz w:val="24"/>
          <w:szCs w:val="24"/>
        </w:rPr>
        <w:t xml:space="preserve"> се попълва и се</w:t>
      </w:r>
      <w:r w:rsidRPr="003C4AB6">
        <w:rPr>
          <w:bCs/>
          <w:sz w:val="24"/>
          <w:szCs w:val="24"/>
        </w:rPr>
        <w:t xml:space="preserve"> подписва от </w:t>
      </w:r>
      <w:r w:rsidRPr="003C4AB6">
        <w:rPr>
          <w:bCs/>
          <w:sz w:val="24"/>
          <w:szCs w:val="24"/>
          <w:u w:val="single"/>
        </w:rPr>
        <w:t>всички</w:t>
      </w:r>
      <w:r w:rsidRPr="003C4AB6">
        <w:rPr>
          <w:bCs/>
          <w:sz w:val="24"/>
          <w:szCs w:val="24"/>
        </w:rPr>
        <w:t xml:space="preserve"> лица, с право да</w:t>
      </w:r>
      <w:r w:rsidRPr="003C4AB6">
        <w:rPr>
          <w:sz w:val="24"/>
          <w:szCs w:val="24"/>
        </w:rPr>
        <w:t xml:space="preserve"> </w:t>
      </w:r>
      <w:r w:rsidRPr="003C4AB6">
        <w:rPr>
          <w:bCs/>
          <w:sz w:val="24"/>
          <w:szCs w:val="24"/>
        </w:rPr>
        <w:t xml:space="preserve">представляват кандидата </w:t>
      </w:r>
      <w:r w:rsidRPr="003C4AB6">
        <w:rPr>
          <w:sz w:val="24"/>
          <w:szCs w:val="24"/>
        </w:rPr>
        <w:t>(</w:t>
      </w:r>
      <w:r w:rsidRPr="003C4AB6">
        <w:rPr>
          <w:bCs/>
          <w:sz w:val="24"/>
          <w:szCs w:val="24"/>
        </w:rPr>
        <w:t>независимо от това дали заедно и/или поотделно, и/или по</w:t>
      </w:r>
      <w:r w:rsidRPr="003C4AB6">
        <w:rPr>
          <w:sz w:val="24"/>
          <w:szCs w:val="24"/>
        </w:rPr>
        <w:t xml:space="preserve"> </w:t>
      </w:r>
      <w:r w:rsidRPr="003C4AB6">
        <w:rPr>
          <w:bCs/>
          <w:sz w:val="24"/>
          <w:szCs w:val="24"/>
        </w:rPr>
        <w:t>друг начин</w:t>
      </w:r>
      <w:r w:rsidRPr="003C4AB6">
        <w:rPr>
          <w:sz w:val="24"/>
          <w:szCs w:val="24"/>
        </w:rPr>
        <w:t>).</w:t>
      </w:r>
    </w:p>
    <w:p w:rsidR="004D2A6F" w:rsidRPr="003C4AB6" w:rsidRDefault="004D2A6F" w:rsidP="0033039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330391" w:rsidRPr="003C4AB6" w:rsidRDefault="007B5996" w:rsidP="0033039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AA477B">
        <w:rPr>
          <w:sz w:val="24"/>
          <w:szCs w:val="24"/>
        </w:rPr>
        <w:t xml:space="preserve">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w:t>
      </w:r>
      <w:r w:rsidR="00723E1C">
        <w:rPr>
          <w:sz w:val="24"/>
          <w:szCs w:val="24"/>
        </w:rPr>
        <w:t>проектното предложение</w:t>
      </w:r>
      <w:r w:rsidRPr="00AA477B">
        <w:rPr>
          <w:sz w:val="24"/>
          <w:szCs w:val="24"/>
        </w:rPr>
        <w:t>.</w:t>
      </w:r>
    </w:p>
    <w:p w:rsidR="00330391" w:rsidRPr="003C4AB6" w:rsidRDefault="00330391" w:rsidP="0033039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AE776F" w:rsidRPr="00412A93" w:rsidRDefault="00485AF5" w:rsidP="00AE776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412A93">
        <w:rPr>
          <w:b/>
          <w:sz w:val="24"/>
          <w:szCs w:val="24"/>
        </w:rPr>
        <w:t>е</w:t>
      </w:r>
      <w:r w:rsidR="00CA759D" w:rsidRPr="00412A93">
        <w:rPr>
          <w:b/>
          <w:sz w:val="24"/>
          <w:szCs w:val="24"/>
        </w:rPr>
        <w:t xml:space="preserve">/ </w:t>
      </w:r>
      <w:r w:rsidR="00AE776F" w:rsidRPr="00412A93">
        <w:rPr>
          <w:sz w:val="24"/>
          <w:szCs w:val="24"/>
        </w:rPr>
        <w:t>Удостоверение от Националния статистически институт (НСИ) относно кода на основната ик</w:t>
      </w:r>
      <w:r w:rsidR="00645ADB" w:rsidRPr="00412A93">
        <w:rPr>
          <w:sz w:val="24"/>
          <w:szCs w:val="24"/>
        </w:rPr>
        <w:t xml:space="preserve">ономическа дейност на кандидата, </w:t>
      </w:r>
      <w:r w:rsidR="00AE776F" w:rsidRPr="00412A93">
        <w:rPr>
          <w:sz w:val="24"/>
          <w:szCs w:val="24"/>
        </w:rPr>
        <w:t>въз основа на данни за 201</w:t>
      </w:r>
      <w:r w:rsidR="00172878" w:rsidRPr="00412A93">
        <w:rPr>
          <w:sz w:val="24"/>
          <w:szCs w:val="24"/>
        </w:rPr>
        <w:t>5</w:t>
      </w:r>
      <w:r w:rsidR="00AE776F" w:rsidRPr="00412A93">
        <w:rPr>
          <w:sz w:val="24"/>
          <w:szCs w:val="24"/>
        </w:rPr>
        <w:t xml:space="preserve"> г.</w:t>
      </w:r>
      <w:r w:rsidR="00645ADB" w:rsidRPr="00412A93">
        <w:rPr>
          <w:sz w:val="24"/>
          <w:szCs w:val="24"/>
        </w:rPr>
        <w:t xml:space="preserve"> (приложимо</w:t>
      </w:r>
      <w:r w:rsidR="00172878" w:rsidRPr="00412A93">
        <w:rPr>
          <w:sz w:val="24"/>
          <w:szCs w:val="24"/>
        </w:rPr>
        <w:t xml:space="preserve"> за кандидати, които имат приключена финансова</w:t>
      </w:r>
      <w:r w:rsidR="005D3FBD" w:rsidRPr="00412A93">
        <w:rPr>
          <w:sz w:val="24"/>
          <w:szCs w:val="24"/>
        </w:rPr>
        <w:t xml:space="preserve"> 2015</w:t>
      </w:r>
      <w:r w:rsidR="00172878" w:rsidRPr="00412A93">
        <w:rPr>
          <w:sz w:val="24"/>
          <w:szCs w:val="24"/>
        </w:rPr>
        <w:t xml:space="preserve"> година</w:t>
      </w:r>
      <w:r w:rsidR="005D3FBD" w:rsidRPr="00412A93">
        <w:rPr>
          <w:sz w:val="24"/>
          <w:szCs w:val="24"/>
        </w:rPr>
        <w:t xml:space="preserve"> и са осъществявали дейност през нея</w:t>
      </w:r>
      <w:r w:rsidR="00645ADB" w:rsidRPr="00412A93">
        <w:rPr>
          <w:sz w:val="24"/>
          <w:szCs w:val="24"/>
        </w:rPr>
        <w:t>)</w:t>
      </w:r>
      <w:r w:rsidR="00AA1E05" w:rsidRPr="00412A93">
        <w:rPr>
          <w:sz w:val="24"/>
          <w:szCs w:val="24"/>
        </w:rPr>
        <w:t xml:space="preserve"> </w:t>
      </w:r>
      <w:r w:rsidR="00AE776F" w:rsidRPr="00412A93">
        <w:rPr>
          <w:sz w:val="24"/>
          <w:szCs w:val="24"/>
        </w:rPr>
        <w:t>–</w:t>
      </w:r>
      <w:r w:rsidR="00AE776F" w:rsidRPr="00412A93">
        <w:rPr>
          <w:b/>
          <w:sz w:val="24"/>
          <w:szCs w:val="24"/>
        </w:rPr>
        <w:t xml:space="preserve"> подписано с КЕП от лице с право да представлява кандидата</w:t>
      </w:r>
      <w:r w:rsidR="00DA7261" w:rsidRPr="00412A93">
        <w:rPr>
          <w:rFonts w:ascii="Calibri" w:eastAsia="Calibri" w:hAnsi="Calibri" w:cs="Times New Roman"/>
          <w:b/>
          <w:sz w:val="24"/>
          <w:szCs w:val="24"/>
        </w:rPr>
        <w:t xml:space="preserve"> или упълномощено лице</w:t>
      </w:r>
      <w:r w:rsidR="00AE776F" w:rsidRPr="00412A93">
        <w:rPr>
          <w:b/>
          <w:sz w:val="24"/>
          <w:szCs w:val="24"/>
        </w:rPr>
        <w:t xml:space="preserve"> и прикачен в ИСУН 2020</w:t>
      </w:r>
      <w:r w:rsidR="00AE776F" w:rsidRPr="00412A93">
        <w:rPr>
          <w:sz w:val="24"/>
          <w:szCs w:val="24"/>
        </w:rPr>
        <w:t>;</w:t>
      </w:r>
    </w:p>
    <w:p w:rsidR="005D3FBD" w:rsidRPr="00412A93" w:rsidRDefault="005D3FBD" w:rsidP="00AE776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645ADB" w:rsidRPr="003C4AB6" w:rsidRDefault="00485AF5" w:rsidP="00645AD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12A93">
        <w:rPr>
          <w:b/>
          <w:sz w:val="24"/>
          <w:szCs w:val="24"/>
        </w:rPr>
        <w:t>ж</w:t>
      </w:r>
      <w:r w:rsidR="00EB29B7" w:rsidRPr="00412A93">
        <w:rPr>
          <w:b/>
          <w:sz w:val="24"/>
          <w:szCs w:val="24"/>
        </w:rPr>
        <w:t xml:space="preserve">/ </w:t>
      </w:r>
      <w:r w:rsidR="00645ADB" w:rsidRPr="00412A93">
        <w:rPr>
          <w:sz w:val="24"/>
          <w:szCs w:val="24"/>
        </w:rPr>
        <w:t>Оферта</w:t>
      </w:r>
      <w:r w:rsidR="00645ADB" w:rsidRPr="003C4AB6">
        <w:rPr>
          <w:sz w:val="24"/>
          <w:szCs w:val="24"/>
        </w:rPr>
        <w:t xml:space="preserve"> и/или извлечение от каталог на производител/ доставчик и/или проучване в интернет</w:t>
      </w:r>
      <w:r w:rsidR="00645ADB" w:rsidRPr="003C4AB6">
        <w:rPr>
          <w:sz w:val="24"/>
          <w:szCs w:val="24"/>
          <w:vertAlign w:val="superscript"/>
        </w:rPr>
        <w:footnoteReference w:id="22"/>
      </w:r>
      <w:r w:rsidR="00645ADB" w:rsidRPr="003C4AB6">
        <w:rPr>
          <w:sz w:val="24"/>
          <w:szCs w:val="24"/>
        </w:rPr>
        <w:t xml:space="preserve"> за всяка отделна инвестиция в активи – ДМА и ДНА с предложена цена от производителя/доставчика</w:t>
      </w:r>
      <w:r w:rsidR="00645ADB" w:rsidRPr="003C4AB6">
        <w:rPr>
          <w:rStyle w:val="FootnoteReference"/>
          <w:sz w:val="24"/>
          <w:szCs w:val="24"/>
        </w:rPr>
        <w:footnoteReference w:id="23"/>
      </w:r>
      <w:r w:rsidR="00645ADB" w:rsidRPr="003C4AB6">
        <w:rPr>
          <w:sz w:val="24"/>
          <w:szCs w:val="24"/>
        </w:rPr>
        <w:t xml:space="preserve"> – </w:t>
      </w:r>
      <w:r w:rsidR="00645ADB" w:rsidRPr="003C4AB6">
        <w:rPr>
          <w:b/>
          <w:sz w:val="24"/>
          <w:szCs w:val="24"/>
        </w:rPr>
        <w:t xml:space="preserve"> подписан с КЕП от лице с право да представлява кандидата</w:t>
      </w:r>
      <w:r w:rsidR="00002498" w:rsidRPr="003C4AB6">
        <w:rPr>
          <w:rFonts w:ascii="Calibri" w:eastAsia="Calibri" w:hAnsi="Calibri" w:cs="Times New Roman"/>
          <w:b/>
          <w:sz w:val="24"/>
          <w:szCs w:val="24"/>
        </w:rPr>
        <w:t xml:space="preserve"> или упълномощено лице</w:t>
      </w:r>
      <w:r w:rsidR="00645ADB" w:rsidRPr="003C4AB6">
        <w:rPr>
          <w:b/>
          <w:sz w:val="24"/>
          <w:szCs w:val="24"/>
        </w:rPr>
        <w:t xml:space="preserve"> и прикачен в ИСУН 2020</w:t>
      </w:r>
      <w:r w:rsidR="00645ADB" w:rsidRPr="003C4AB6">
        <w:rPr>
          <w:sz w:val="24"/>
          <w:szCs w:val="24"/>
        </w:rPr>
        <w:t>.</w:t>
      </w:r>
    </w:p>
    <w:p w:rsidR="00645ADB" w:rsidRPr="003C4AB6" w:rsidRDefault="00645ADB" w:rsidP="00645AD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45ADB" w:rsidRPr="003C4AB6" w:rsidRDefault="00645ADB" w:rsidP="00645AD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ВАЖНО:</w:t>
      </w:r>
      <w:r w:rsidRPr="003C4AB6">
        <w:rPr>
          <w:sz w:val="24"/>
          <w:szCs w:val="24"/>
        </w:rPr>
        <w:t xml:space="preserve"> Документите по буква </w:t>
      </w:r>
      <w:r w:rsidR="00177693" w:rsidRPr="003C4AB6">
        <w:rPr>
          <w:sz w:val="24"/>
          <w:szCs w:val="24"/>
        </w:rPr>
        <w:t>ж</w:t>
      </w:r>
      <w:r w:rsidRPr="003C4AB6">
        <w:rPr>
          <w:sz w:val="24"/>
          <w:szCs w:val="24"/>
        </w:rPr>
        <w:t xml:space="preserve">/ трябва да съдържат информация за: наименование на </w:t>
      </w:r>
      <w:proofErr w:type="spellStart"/>
      <w:r w:rsidRPr="003C4AB6">
        <w:rPr>
          <w:sz w:val="24"/>
          <w:szCs w:val="24"/>
        </w:rPr>
        <w:t>оферента</w:t>
      </w:r>
      <w:proofErr w:type="spellEnd"/>
      <w:r w:rsidRPr="003C4AB6">
        <w:rPr>
          <w:sz w:val="24"/>
          <w:szCs w:val="24"/>
        </w:rPr>
        <w:t xml:space="preserve">; технически и/или функционални характеристики на оборудването, съответстващи на посочените в Приложение </w:t>
      </w:r>
      <w:r w:rsidR="00306B80" w:rsidRPr="003C4AB6">
        <w:rPr>
          <w:sz w:val="24"/>
          <w:szCs w:val="24"/>
        </w:rPr>
        <w:t>Ж</w:t>
      </w:r>
      <w:r w:rsidRPr="003C4AB6">
        <w:rPr>
          <w:sz w:val="24"/>
          <w:szCs w:val="24"/>
        </w:rPr>
        <w:t xml:space="preserve"> минимални технически и/или функционални характеристики, цена на оборудването и вид на валутата.</w:t>
      </w:r>
    </w:p>
    <w:p w:rsidR="00645ADB" w:rsidRPr="003C4AB6" w:rsidRDefault="00645ADB" w:rsidP="0017769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В случай че кандидатът представя оферта, от нея следва да е видно лицето, което я е издало от името на </w:t>
      </w:r>
      <w:proofErr w:type="spellStart"/>
      <w:r w:rsidRPr="003C4AB6">
        <w:rPr>
          <w:sz w:val="24"/>
          <w:szCs w:val="24"/>
        </w:rPr>
        <w:t>оферента</w:t>
      </w:r>
      <w:proofErr w:type="spellEnd"/>
      <w:r w:rsidRPr="003C4AB6">
        <w:rPr>
          <w:sz w:val="24"/>
          <w:szCs w:val="24"/>
        </w:rPr>
        <w:t>, като напр. подпис, електронен подпис или  разпечатка на електронно съобщение, с което е получена.</w:t>
      </w:r>
    </w:p>
    <w:p w:rsidR="00645ADB" w:rsidRPr="003C4AB6" w:rsidRDefault="00645ADB" w:rsidP="00177693">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В случай че кандидатът представя проучвания в интернет, той следва да приложи разпечатка на съответната интернет страница на производителя/доставчика, подписана с КЕП от лице с право да представлява кандидата </w:t>
      </w:r>
      <w:r w:rsidR="00885BEB" w:rsidRPr="003C4AB6">
        <w:rPr>
          <w:rFonts w:ascii="Calibri" w:eastAsia="Calibri" w:hAnsi="Calibri" w:cs="Times New Roman"/>
          <w:sz w:val="24"/>
          <w:szCs w:val="24"/>
        </w:rPr>
        <w:t>или упълномощено лице</w:t>
      </w:r>
      <w:r w:rsidR="00885BEB" w:rsidRPr="003C4AB6">
        <w:rPr>
          <w:sz w:val="24"/>
          <w:szCs w:val="24"/>
        </w:rPr>
        <w:t xml:space="preserve"> </w:t>
      </w:r>
      <w:r w:rsidRPr="003C4AB6">
        <w:rPr>
          <w:sz w:val="24"/>
          <w:szCs w:val="24"/>
        </w:rPr>
        <w:t>и прикачена в ИСУН 2020.</w:t>
      </w:r>
    </w:p>
    <w:p w:rsidR="00AE776F" w:rsidRPr="003C4AB6" w:rsidRDefault="00AE776F" w:rsidP="00AE776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AE776F" w:rsidRDefault="00BF1DD8" w:rsidP="00AE776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Pr>
          <w:b/>
          <w:sz w:val="24"/>
          <w:szCs w:val="24"/>
        </w:rPr>
        <w:lastRenderedPageBreak/>
        <w:t>з</w:t>
      </w:r>
      <w:r w:rsidR="00306B80" w:rsidRPr="003C4AB6">
        <w:rPr>
          <w:b/>
          <w:sz w:val="24"/>
          <w:szCs w:val="24"/>
        </w:rPr>
        <w:t>/</w:t>
      </w:r>
      <w:r w:rsidR="00306B80" w:rsidRPr="003C4AB6">
        <w:rPr>
          <w:sz w:val="24"/>
          <w:szCs w:val="24"/>
        </w:rPr>
        <w:t xml:space="preserve"> </w:t>
      </w:r>
      <w:r w:rsidR="00AE776F" w:rsidRPr="003C4AB6">
        <w:rPr>
          <w:sz w:val="24"/>
          <w:szCs w:val="24"/>
        </w:rPr>
        <w:t>Техническа спецификация на предвидените за закупуване ДМА и ДНА</w:t>
      </w:r>
      <w:r w:rsidR="00C62CD1">
        <w:rPr>
          <w:sz w:val="24"/>
          <w:szCs w:val="24"/>
        </w:rPr>
        <w:t xml:space="preserve"> (ако е приложимо)</w:t>
      </w:r>
      <w:r w:rsidR="00AE776F" w:rsidRPr="003C4AB6">
        <w:rPr>
          <w:sz w:val="24"/>
          <w:szCs w:val="24"/>
        </w:rPr>
        <w:t xml:space="preserve"> – </w:t>
      </w:r>
      <w:r w:rsidR="000C4938" w:rsidRPr="003C4AB6">
        <w:rPr>
          <w:sz w:val="24"/>
          <w:szCs w:val="24"/>
        </w:rPr>
        <w:t xml:space="preserve">попълнена </w:t>
      </w:r>
      <w:r w:rsidR="00AE776F" w:rsidRPr="003C4AB6">
        <w:rPr>
          <w:sz w:val="24"/>
          <w:szCs w:val="24"/>
        </w:rPr>
        <w:t xml:space="preserve">по образец </w:t>
      </w:r>
      <w:r w:rsidR="000C4938" w:rsidRPr="003C4AB6">
        <w:rPr>
          <w:sz w:val="24"/>
          <w:szCs w:val="24"/>
        </w:rPr>
        <w:t>(</w:t>
      </w:r>
      <w:r w:rsidR="00AE776F" w:rsidRPr="003C4AB6">
        <w:rPr>
          <w:sz w:val="24"/>
          <w:szCs w:val="24"/>
        </w:rPr>
        <w:t xml:space="preserve">Приложение </w:t>
      </w:r>
      <w:r w:rsidR="000C4938" w:rsidRPr="003C4AB6">
        <w:rPr>
          <w:sz w:val="24"/>
          <w:szCs w:val="24"/>
        </w:rPr>
        <w:t xml:space="preserve">Ж) - </w:t>
      </w:r>
      <w:r w:rsidR="00AE776F" w:rsidRPr="003C4AB6">
        <w:rPr>
          <w:b/>
          <w:sz w:val="24"/>
          <w:szCs w:val="24"/>
        </w:rPr>
        <w:t>подписана с КЕП от лице с право да представлява кандидата</w:t>
      </w:r>
      <w:r w:rsidR="00DA7261" w:rsidRPr="003C4AB6">
        <w:rPr>
          <w:rFonts w:ascii="Calibri" w:eastAsia="Calibri" w:hAnsi="Calibri" w:cs="Times New Roman"/>
          <w:b/>
          <w:sz w:val="24"/>
          <w:szCs w:val="24"/>
        </w:rPr>
        <w:t xml:space="preserve"> или упълномощено лице</w:t>
      </w:r>
      <w:r w:rsidR="00AE776F" w:rsidRPr="003C4AB6">
        <w:rPr>
          <w:b/>
          <w:sz w:val="24"/>
          <w:szCs w:val="24"/>
        </w:rPr>
        <w:t xml:space="preserve"> и прикачена в ИСУН 2020</w:t>
      </w:r>
      <w:r w:rsidR="00AE776F" w:rsidRPr="003C4AB6">
        <w:rPr>
          <w:sz w:val="24"/>
          <w:szCs w:val="24"/>
        </w:rPr>
        <w:t xml:space="preserve">. В случаите, когато кандидатът се представлява </w:t>
      </w:r>
      <w:r w:rsidR="00AE776F" w:rsidRPr="003C4AB6">
        <w:rPr>
          <w:sz w:val="24"/>
          <w:szCs w:val="24"/>
          <w:u w:val="single"/>
        </w:rPr>
        <w:t>заедно</w:t>
      </w:r>
      <w:r w:rsidR="00AE776F" w:rsidRPr="003C4AB6">
        <w:rPr>
          <w:sz w:val="24"/>
          <w:szCs w:val="24"/>
        </w:rPr>
        <w:t xml:space="preserve"> от няколко физически лица,  техническата спецификация се подписва от всяко от тях.</w:t>
      </w:r>
    </w:p>
    <w:p w:rsidR="00F90FD7" w:rsidRPr="003C4AB6" w:rsidRDefault="00AE776F" w:rsidP="00E52F7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60C74">
        <w:rPr>
          <w:b/>
          <w:sz w:val="24"/>
          <w:szCs w:val="24"/>
        </w:rPr>
        <w:t xml:space="preserve">ВАЖНО: </w:t>
      </w:r>
      <w:r w:rsidRPr="00F60C74">
        <w:rPr>
          <w:sz w:val="24"/>
          <w:szCs w:val="24"/>
        </w:rPr>
        <w:t>В случай че</w:t>
      </w:r>
      <w:r w:rsidR="00F60C74">
        <w:rPr>
          <w:sz w:val="24"/>
          <w:szCs w:val="24"/>
        </w:rPr>
        <w:t xml:space="preserve"> е приложимо и не е представена</w:t>
      </w:r>
      <w:r w:rsidRPr="00F60C74">
        <w:rPr>
          <w:sz w:val="24"/>
          <w:szCs w:val="24"/>
        </w:rPr>
        <w:t xml:space="preserve"> Техническата спецификация (</w:t>
      </w:r>
      <w:r w:rsidR="000C4938" w:rsidRPr="00F60C74">
        <w:rPr>
          <w:bCs/>
          <w:sz w:val="24"/>
          <w:szCs w:val="24"/>
        </w:rPr>
        <w:t>Приложение Ж</w:t>
      </w:r>
      <w:r w:rsidRPr="00F60C74">
        <w:rPr>
          <w:bCs/>
          <w:sz w:val="24"/>
          <w:szCs w:val="24"/>
        </w:rPr>
        <w:t xml:space="preserve">) </w:t>
      </w:r>
      <w:r w:rsidR="00F60C74">
        <w:rPr>
          <w:bCs/>
          <w:sz w:val="24"/>
          <w:szCs w:val="24"/>
        </w:rPr>
        <w:t xml:space="preserve">или </w:t>
      </w:r>
      <w:r w:rsidRPr="00F60C74">
        <w:rPr>
          <w:bCs/>
          <w:sz w:val="24"/>
          <w:szCs w:val="24"/>
        </w:rPr>
        <w:t>не е представена в изискуемия образец</w:t>
      </w:r>
      <w:r w:rsidRPr="00F60C74">
        <w:rPr>
          <w:sz w:val="24"/>
          <w:szCs w:val="24"/>
        </w:rPr>
        <w:t xml:space="preserve">, документът не може да бъде допълнително изискван от кандидатите, тъй като допълнителното му представяне ще доведе до подобряване на качеството на проектното предложение и до нарушаване на </w:t>
      </w:r>
      <w:r w:rsidRPr="00C6082C">
        <w:rPr>
          <w:sz w:val="24"/>
          <w:szCs w:val="24"/>
        </w:rPr>
        <w:t xml:space="preserve">принципите по чл. </w:t>
      </w:r>
      <w:r w:rsidR="00C274E4" w:rsidRPr="00C6082C">
        <w:rPr>
          <w:sz w:val="24"/>
          <w:szCs w:val="24"/>
        </w:rPr>
        <w:t xml:space="preserve">29 </w:t>
      </w:r>
      <w:r w:rsidRPr="00C6082C">
        <w:rPr>
          <w:sz w:val="24"/>
          <w:szCs w:val="24"/>
        </w:rPr>
        <w:t xml:space="preserve">от </w:t>
      </w:r>
      <w:r w:rsidR="00C274E4" w:rsidRPr="00C6082C">
        <w:rPr>
          <w:sz w:val="24"/>
          <w:szCs w:val="24"/>
        </w:rPr>
        <w:t>ЗУСЕСИФ</w:t>
      </w:r>
      <w:r w:rsidRPr="00C6082C">
        <w:rPr>
          <w:sz w:val="24"/>
          <w:szCs w:val="24"/>
        </w:rPr>
        <w:t>.</w:t>
      </w:r>
      <w:r w:rsidR="00097715" w:rsidRPr="00C6082C">
        <w:rPr>
          <w:sz w:val="24"/>
          <w:szCs w:val="24"/>
        </w:rPr>
        <w:t xml:space="preserve"> </w:t>
      </w:r>
      <w:r w:rsidR="00F90FD7" w:rsidRPr="00C6082C">
        <w:rPr>
          <w:sz w:val="24"/>
          <w:szCs w:val="24"/>
        </w:rPr>
        <w:t>Непредставянето</w:t>
      </w:r>
      <w:r w:rsidR="00F90FD7" w:rsidRPr="00F60C74">
        <w:rPr>
          <w:sz w:val="24"/>
          <w:szCs w:val="24"/>
        </w:rPr>
        <w:t xml:space="preserve"> на документа няма да доведе до отхвърляне на проектното предложение, но ще  доведе до редуциране на разходи в бюджета на проектното предложение (т. 5 от Формуляра за кандидатстване).</w:t>
      </w:r>
    </w:p>
    <w:p w:rsidR="00ED3503" w:rsidRPr="003C4AB6" w:rsidRDefault="00BF1DD8" w:rsidP="00ED350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b/>
          <w:sz w:val="24"/>
          <w:szCs w:val="24"/>
        </w:rPr>
        <w:t>и</w:t>
      </w:r>
      <w:r w:rsidR="001C5F55" w:rsidRPr="003C4AB6">
        <w:rPr>
          <w:b/>
          <w:sz w:val="24"/>
          <w:szCs w:val="24"/>
        </w:rPr>
        <w:t xml:space="preserve">/ </w:t>
      </w:r>
      <w:r w:rsidR="00EB29B7" w:rsidRPr="003C4AB6">
        <w:rPr>
          <w:sz w:val="24"/>
          <w:szCs w:val="24"/>
        </w:rPr>
        <w:t>Сравнителен а</w:t>
      </w:r>
      <w:r w:rsidR="004521D0" w:rsidRPr="003C4AB6">
        <w:rPr>
          <w:sz w:val="24"/>
          <w:szCs w:val="24"/>
        </w:rPr>
        <w:t xml:space="preserve">нализ на </w:t>
      </w:r>
      <w:r w:rsidR="005844B6" w:rsidRPr="003C4AB6">
        <w:rPr>
          <w:sz w:val="24"/>
          <w:szCs w:val="24"/>
        </w:rPr>
        <w:t>разработваната</w:t>
      </w:r>
      <w:r w:rsidR="004521D0" w:rsidRPr="003C4AB6">
        <w:rPr>
          <w:sz w:val="24"/>
          <w:szCs w:val="24"/>
        </w:rPr>
        <w:t xml:space="preserve"> иновация - </w:t>
      </w:r>
      <w:r w:rsidR="00EB29B7" w:rsidRPr="003C4AB6">
        <w:rPr>
          <w:sz w:val="24"/>
          <w:szCs w:val="24"/>
        </w:rPr>
        <w:t>попълнен по образец (Приложение З</w:t>
      </w:r>
      <w:r w:rsidR="007E2B5D" w:rsidRPr="003C4AB6">
        <w:rPr>
          <w:sz w:val="24"/>
          <w:szCs w:val="24"/>
        </w:rPr>
        <w:t xml:space="preserve"> към </w:t>
      </w:r>
      <w:r w:rsidR="007B1E28">
        <w:rPr>
          <w:sz w:val="24"/>
          <w:szCs w:val="24"/>
        </w:rPr>
        <w:t>Условия</w:t>
      </w:r>
      <w:r w:rsidR="007E2B5D" w:rsidRPr="003C4AB6">
        <w:rPr>
          <w:sz w:val="24"/>
          <w:szCs w:val="24"/>
        </w:rPr>
        <w:t>т</w:t>
      </w:r>
      <w:r w:rsidR="005349F3">
        <w:rPr>
          <w:sz w:val="24"/>
          <w:szCs w:val="24"/>
        </w:rPr>
        <w:t>а</w:t>
      </w:r>
      <w:r w:rsidR="007E2B5D" w:rsidRPr="003C4AB6">
        <w:rPr>
          <w:sz w:val="24"/>
          <w:szCs w:val="24"/>
        </w:rPr>
        <w:t xml:space="preserve"> за кандидатств</w:t>
      </w:r>
      <w:r w:rsidR="00E4432E" w:rsidRPr="003C4AB6">
        <w:rPr>
          <w:sz w:val="24"/>
          <w:szCs w:val="24"/>
        </w:rPr>
        <w:t>а</w:t>
      </w:r>
      <w:r w:rsidR="007E2B5D" w:rsidRPr="003C4AB6">
        <w:rPr>
          <w:sz w:val="24"/>
          <w:szCs w:val="24"/>
        </w:rPr>
        <w:t>не</w:t>
      </w:r>
      <w:r w:rsidR="009250B6" w:rsidRPr="003C4AB6">
        <w:rPr>
          <w:sz w:val="24"/>
          <w:szCs w:val="24"/>
        </w:rPr>
        <w:t>)</w:t>
      </w:r>
      <w:r w:rsidR="007E2B5D" w:rsidRPr="003C4AB6">
        <w:rPr>
          <w:sz w:val="24"/>
          <w:szCs w:val="24"/>
        </w:rPr>
        <w:t xml:space="preserve"> -</w:t>
      </w:r>
      <w:r w:rsidR="00E4432E" w:rsidRPr="003C4AB6">
        <w:rPr>
          <w:sz w:val="24"/>
          <w:szCs w:val="24"/>
        </w:rPr>
        <w:t xml:space="preserve"> </w:t>
      </w:r>
      <w:r w:rsidR="007E2B5D" w:rsidRPr="003C4AB6">
        <w:rPr>
          <w:sz w:val="24"/>
          <w:szCs w:val="24"/>
        </w:rPr>
        <w:t xml:space="preserve"> </w:t>
      </w:r>
      <w:r w:rsidR="00E4432E" w:rsidRPr="003C4AB6">
        <w:rPr>
          <w:b/>
          <w:sz w:val="24"/>
          <w:szCs w:val="24"/>
        </w:rPr>
        <w:t xml:space="preserve">подписан с КЕП  </w:t>
      </w:r>
      <w:r w:rsidR="009250B6" w:rsidRPr="003C4AB6">
        <w:rPr>
          <w:rFonts w:ascii="Calibri" w:eastAsia="Calibri" w:hAnsi="Calibri" w:cs="Times New Roman"/>
          <w:b/>
          <w:sz w:val="24"/>
          <w:szCs w:val="24"/>
        </w:rPr>
        <w:t xml:space="preserve">от лице с право да представлява кандидата или упълномощено лице </w:t>
      </w:r>
      <w:r w:rsidR="00E4432E" w:rsidRPr="003C4AB6">
        <w:rPr>
          <w:b/>
          <w:sz w:val="24"/>
          <w:szCs w:val="24"/>
        </w:rPr>
        <w:t>и прикач</w:t>
      </w:r>
      <w:r w:rsidR="00D716F6" w:rsidRPr="003C4AB6">
        <w:rPr>
          <w:b/>
          <w:sz w:val="24"/>
          <w:szCs w:val="24"/>
        </w:rPr>
        <w:t>ен</w:t>
      </w:r>
      <w:r w:rsidR="00E4432E" w:rsidRPr="003C4AB6">
        <w:rPr>
          <w:b/>
          <w:sz w:val="24"/>
          <w:szCs w:val="24"/>
        </w:rPr>
        <w:t xml:space="preserve"> в ИСУН 2020.</w:t>
      </w:r>
      <w:r w:rsidR="00E137C0">
        <w:rPr>
          <w:b/>
          <w:sz w:val="24"/>
          <w:szCs w:val="24"/>
        </w:rPr>
        <w:t xml:space="preserve"> </w:t>
      </w:r>
      <w:r w:rsidR="00ED3503" w:rsidRPr="003C4AB6">
        <w:rPr>
          <w:sz w:val="24"/>
          <w:szCs w:val="24"/>
        </w:rPr>
        <w:t xml:space="preserve">В случаите, когато кандидатът се представлява </w:t>
      </w:r>
      <w:r w:rsidR="00ED3503" w:rsidRPr="003C4AB6">
        <w:rPr>
          <w:sz w:val="24"/>
          <w:szCs w:val="24"/>
          <w:u w:val="single"/>
        </w:rPr>
        <w:t>заедно</w:t>
      </w:r>
      <w:r w:rsidR="00ED3503" w:rsidRPr="003C4AB6">
        <w:rPr>
          <w:sz w:val="24"/>
          <w:szCs w:val="24"/>
        </w:rPr>
        <w:t xml:space="preserve"> от няколко физически лица, Сравнителния анализ се подписва от всяко от тях. </w:t>
      </w:r>
    </w:p>
    <w:p w:rsidR="00E137C0" w:rsidRPr="003C4AB6" w:rsidRDefault="009F47F4" w:rsidP="00990488">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b/>
          <w:sz w:val="24"/>
          <w:szCs w:val="24"/>
        </w:rPr>
        <w:t>ВАЖНО:</w:t>
      </w:r>
      <w:r w:rsidRPr="003C4AB6">
        <w:rPr>
          <w:sz w:val="24"/>
          <w:szCs w:val="24"/>
        </w:rPr>
        <w:t xml:space="preserve"> В случай че </w:t>
      </w:r>
      <w:r w:rsidR="00E137C0">
        <w:rPr>
          <w:sz w:val="24"/>
          <w:szCs w:val="24"/>
        </w:rPr>
        <w:t xml:space="preserve">не е представен </w:t>
      </w:r>
      <w:r w:rsidRPr="003C4AB6">
        <w:rPr>
          <w:sz w:val="24"/>
          <w:szCs w:val="24"/>
        </w:rPr>
        <w:t xml:space="preserve">Сравнителен анализ на </w:t>
      </w:r>
      <w:r w:rsidR="005844B6" w:rsidRPr="003C4AB6">
        <w:rPr>
          <w:sz w:val="24"/>
          <w:szCs w:val="24"/>
        </w:rPr>
        <w:t>разработваната</w:t>
      </w:r>
      <w:r w:rsidRPr="003C4AB6">
        <w:rPr>
          <w:sz w:val="24"/>
          <w:szCs w:val="24"/>
        </w:rPr>
        <w:t xml:space="preserve"> иновация (Приложение З) </w:t>
      </w:r>
      <w:r w:rsidR="00E137C0">
        <w:rPr>
          <w:sz w:val="24"/>
          <w:szCs w:val="24"/>
        </w:rPr>
        <w:t xml:space="preserve">или </w:t>
      </w:r>
      <w:r w:rsidRPr="003C4AB6">
        <w:rPr>
          <w:sz w:val="24"/>
          <w:szCs w:val="24"/>
        </w:rPr>
        <w:t>не е представен в изискуемия образец или не са попълнени всички раздели,</w:t>
      </w:r>
      <w:r w:rsidR="00885864" w:rsidRPr="00885864">
        <w:rPr>
          <w:sz w:val="24"/>
          <w:szCs w:val="24"/>
        </w:rPr>
        <w:t xml:space="preserve"> по начина по който е указано в Приложение З</w:t>
      </w:r>
      <w:r w:rsidR="00885864">
        <w:rPr>
          <w:sz w:val="24"/>
          <w:szCs w:val="24"/>
        </w:rPr>
        <w:t>,</w:t>
      </w:r>
      <w:r w:rsidRPr="003C4AB6">
        <w:rPr>
          <w:sz w:val="24"/>
          <w:szCs w:val="24"/>
        </w:rPr>
        <w:t xml:space="preserve"> документът не може да бъде допълнително изискван от кандидатите и проектното предложение ще бъде отхвърлено, тъй като допълнителното му представяне ще доведе до подобряване на качеството на проектното предложение и до нарушаване на принципите </w:t>
      </w:r>
      <w:r w:rsidR="00A535FB" w:rsidRPr="00A535FB">
        <w:rPr>
          <w:sz w:val="24"/>
          <w:szCs w:val="24"/>
        </w:rPr>
        <w:t>по чл. 29 от ЗУСЕСИФ</w:t>
      </w:r>
      <w:r w:rsidRPr="003C4AB6">
        <w:rPr>
          <w:sz w:val="24"/>
          <w:szCs w:val="24"/>
        </w:rPr>
        <w:t>.</w:t>
      </w:r>
    </w:p>
    <w:p w:rsidR="00A8292A" w:rsidRPr="003C4AB6" w:rsidRDefault="00BF1DD8" w:rsidP="00EC5FC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й</w:t>
      </w:r>
      <w:r w:rsidR="00647A57" w:rsidRPr="003C4AB6">
        <w:rPr>
          <w:b/>
          <w:sz w:val="24"/>
          <w:szCs w:val="24"/>
        </w:rPr>
        <w:t xml:space="preserve">/ </w:t>
      </w:r>
      <w:r w:rsidR="00A05FC6" w:rsidRPr="003C4AB6">
        <w:rPr>
          <w:sz w:val="24"/>
          <w:szCs w:val="24"/>
        </w:rPr>
        <w:t xml:space="preserve">Документи, доказващи наличието </w:t>
      </w:r>
      <w:r w:rsidR="009F63D0" w:rsidRPr="003C4AB6">
        <w:rPr>
          <w:sz w:val="24"/>
          <w:szCs w:val="24"/>
        </w:rPr>
        <w:t xml:space="preserve">на професионален опит на екипа на кандидата </w:t>
      </w:r>
      <w:r w:rsidR="00A05FC6" w:rsidRPr="003C4AB6">
        <w:rPr>
          <w:sz w:val="24"/>
          <w:szCs w:val="24"/>
        </w:rPr>
        <w:t xml:space="preserve">в изпълнението на </w:t>
      </w:r>
      <w:r w:rsidR="00CA2302">
        <w:rPr>
          <w:sz w:val="24"/>
          <w:szCs w:val="24"/>
        </w:rPr>
        <w:t>договори</w:t>
      </w:r>
      <w:r w:rsidR="00A05FC6" w:rsidRPr="003C4AB6">
        <w:rPr>
          <w:sz w:val="24"/>
          <w:szCs w:val="24"/>
        </w:rPr>
        <w:t>, сходни с дейностите, за които се кандидатства</w:t>
      </w:r>
      <w:r w:rsidR="00A05FC6" w:rsidRPr="003C4AB6">
        <w:rPr>
          <w:b/>
          <w:sz w:val="24"/>
          <w:szCs w:val="24"/>
        </w:rPr>
        <w:t xml:space="preserve"> - подписани с КЕП от лице с право да представлява кандидата </w:t>
      </w:r>
      <w:r w:rsidR="006D2EA8" w:rsidRPr="003C4AB6">
        <w:rPr>
          <w:b/>
          <w:sz w:val="24"/>
          <w:szCs w:val="24"/>
        </w:rPr>
        <w:t xml:space="preserve">или упълномощено лице </w:t>
      </w:r>
      <w:r w:rsidR="00A05FC6" w:rsidRPr="003C4AB6">
        <w:rPr>
          <w:b/>
          <w:sz w:val="24"/>
          <w:szCs w:val="24"/>
        </w:rPr>
        <w:t>и прикачени в ИСУН 2020</w:t>
      </w:r>
      <w:r w:rsidR="00A8292A" w:rsidRPr="003C4AB6">
        <w:rPr>
          <w:b/>
          <w:sz w:val="24"/>
          <w:szCs w:val="24"/>
        </w:rPr>
        <w:t xml:space="preserve">. </w:t>
      </w:r>
    </w:p>
    <w:p w:rsidR="00F105A9" w:rsidRPr="003C4AB6" w:rsidRDefault="00F105A9" w:rsidP="00F105A9">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Документите са незадължителни, но са</w:t>
      </w:r>
      <w:r w:rsidR="00EC5FC2" w:rsidRPr="003C4AB6">
        <w:rPr>
          <w:sz w:val="24"/>
          <w:szCs w:val="24"/>
        </w:rPr>
        <w:t xml:space="preserve"> необходим</w:t>
      </w:r>
      <w:r w:rsidRPr="003C4AB6">
        <w:rPr>
          <w:sz w:val="24"/>
          <w:szCs w:val="24"/>
        </w:rPr>
        <w:t>и</w:t>
      </w:r>
      <w:r w:rsidR="00EC5FC2" w:rsidRPr="003C4AB6">
        <w:rPr>
          <w:sz w:val="24"/>
          <w:szCs w:val="24"/>
        </w:rPr>
        <w:t xml:space="preserve"> за техническата и финансова оценка на проектните предложения - неп</w:t>
      </w:r>
      <w:r w:rsidRPr="003C4AB6">
        <w:rPr>
          <w:sz w:val="24"/>
          <w:szCs w:val="24"/>
        </w:rPr>
        <w:t>редставянето на съответните</w:t>
      </w:r>
      <w:r w:rsidR="00EC5FC2" w:rsidRPr="003C4AB6">
        <w:rPr>
          <w:sz w:val="24"/>
          <w:szCs w:val="24"/>
        </w:rPr>
        <w:t xml:space="preserve"> документ/и няма да доведе до отхвърляне на проектното предложение, но кандидатът може да получи по-малък брой точки или да не получи точки по критерий „</w:t>
      </w:r>
      <w:r w:rsidRPr="003C4AB6">
        <w:rPr>
          <w:sz w:val="24"/>
          <w:szCs w:val="24"/>
        </w:rPr>
        <w:t>Опит на екипа на кандидата в изпълнението на сходни дейности“.</w:t>
      </w:r>
    </w:p>
    <w:p w:rsidR="00A05FC6" w:rsidRPr="003C4AB6" w:rsidRDefault="00F105A9" w:rsidP="00A05FC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Документите по буква </w:t>
      </w:r>
      <w:r w:rsidR="00BF1DD8">
        <w:rPr>
          <w:sz w:val="24"/>
          <w:szCs w:val="24"/>
        </w:rPr>
        <w:t>й</w:t>
      </w:r>
      <w:r w:rsidRPr="003C4AB6">
        <w:rPr>
          <w:sz w:val="24"/>
          <w:szCs w:val="24"/>
        </w:rPr>
        <w:t>/</w:t>
      </w:r>
      <w:r w:rsidR="00A8292A" w:rsidRPr="003C4AB6">
        <w:rPr>
          <w:sz w:val="24"/>
          <w:szCs w:val="24"/>
        </w:rPr>
        <w:t xml:space="preserve"> включват</w:t>
      </w:r>
      <w:r w:rsidR="00A05FC6" w:rsidRPr="003C4AB6">
        <w:rPr>
          <w:sz w:val="24"/>
          <w:szCs w:val="24"/>
        </w:rPr>
        <w:t>:</w:t>
      </w:r>
      <w:r w:rsidR="004A1094">
        <w:rPr>
          <w:sz w:val="24"/>
          <w:szCs w:val="24"/>
        </w:rPr>
        <w:t xml:space="preserve"> </w:t>
      </w:r>
      <w:r w:rsidR="00A05FC6" w:rsidRPr="004A1094">
        <w:rPr>
          <w:sz w:val="24"/>
          <w:szCs w:val="24"/>
        </w:rPr>
        <w:t xml:space="preserve">трудова книжка, служебна книжка, </w:t>
      </w:r>
      <w:r w:rsidR="00A05FC6" w:rsidRPr="00CA22EC">
        <w:rPr>
          <w:sz w:val="24"/>
          <w:szCs w:val="24"/>
        </w:rPr>
        <w:t xml:space="preserve">трудов </w:t>
      </w:r>
      <w:r w:rsidR="004A1094">
        <w:rPr>
          <w:sz w:val="24"/>
          <w:szCs w:val="24"/>
        </w:rPr>
        <w:t>договор,</w:t>
      </w:r>
      <w:r w:rsidR="00A05FC6" w:rsidRPr="00CA22EC">
        <w:rPr>
          <w:sz w:val="24"/>
          <w:szCs w:val="24"/>
        </w:rPr>
        <w:t xml:space="preserve"> граждански договор, референции от работодател</w:t>
      </w:r>
      <w:r w:rsidR="004A1094">
        <w:rPr>
          <w:sz w:val="24"/>
          <w:szCs w:val="24"/>
        </w:rPr>
        <w:t xml:space="preserve"> или </w:t>
      </w:r>
      <w:r w:rsidR="00A05FC6" w:rsidRPr="00CA22EC">
        <w:rPr>
          <w:sz w:val="24"/>
          <w:szCs w:val="24"/>
        </w:rPr>
        <w:t>други приложими документи, издавани от съответния работодател/организация.</w:t>
      </w:r>
      <w:r w:rsidR="00A05FC6" w:rsidRPr="003C4AB6">
        <w:rPr>
          <w:sz w:val="24"/>
          <w:szCs w:val="24"/>
        </w:rPr>
        <w:t xml:space="preserve"> </w:t>
      </w:r>
    </w:p>
    <w:p w:rsidR="00A05FC6" w:rsidRDefault="0025610F" w:rsidP="00E277B6">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sidRPr="003C4AB6">
        <w:rPr>
          <w:b/>
          <w:sz w:val="24"/>
          <w:szCs w:val="24"/>
        </w:rPr>
        <w:t>ВАЖНО:</w:t>
      </w:r>
      <w:r w:rsidRPr="003C4AB6">
        <w:rPr>
          <w:sz w:val="24"/>
          <w:szCs w:val="24"/>
        </w:rPr>
        <w:t xml:space="preserve"> </w:t>
      </w:r>
      <w:r w:rsidR="00A05FC6" w:rsidRPr="003C4AB6">
        <w:rPr>
          <w:sz w:val="24"/>
          <w:szCs w:val="24"/>
        </w:rPr>
        <w:t>При представяне на референции/други приложими документи, кандидатите следва да представят трудова книжка/служебна книжка</w:t>
      </w:r>
      <w:r w:rsidR="007E200B">
        <w:rPr>
          <w:sz w:val="24"/>
          <w:szCs w:val="24"/>
        </w:rPr>
        <w:t>/граждански договор</w:t>
      </w:r>
      <w:r w:rsidR="00A05FC6" w:rsidRPr="003C4AB6">
        <w:rPr>
          <w:sz w:val="24"/>
          <w:szCs w:val="24"/>
        </w:rPr>
        <w:t xml:space="preserve">, от </w:t>
      </w:r>
      <w:r w:rsidR="007E200B" w:rsidRPr="003C4AB6">
        <w:rPr>
          <w:sz w:val="24"/>
          <w:szCs w:val="24"/>
        </w:rPr>
        <w:t>ко</w:t>
      </w:r>
      <w:r w:rsidR="007E200B">
        <w:rPr>
          <w:sz w:val="24"/>
          <w:szCs w:val="24"/>
        </w:rPr>
        <w:t>и</w:t>
      </w:r>
      <w:r w:rsidR="007E200B" w:rsidRPr="003C4AB6">
        <w:rPr>
          <w:sz w:val="24"/>
          <w:szCs w:val="24"/>
        </w:rPr>
        <w:t xml:space="preserve">то </w:t>
      </w:r>
      <w:r w:rsidR="00A05FC6" w:rsidRPr="003C4AB6">
        <w:rPr>
          <w:sz w:val="24"/>
          <w:szCs w:val="24"/>
        </w:rPr>
        <w:t>е видно, че в посочения период лицето е имало отношения със съответния работодател/организация.</w:t>
      </w:r>
    </w:p>
    <w:p w:rsidR="00EC3C78" w:rsidRPr="00EC3C78" w:rsidRDefault="00EC3C78" w:rsidP="00E277B6">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10"/>
          <w:szCs w:val="10"/>
        </w:rPr>
      </w:pPr>
    </w:p>
    <w:p w:rsidR="00EC3C78" w:rsidRPr="003C4AB6" w:rsidRDefault="00EC3C78" w:rsidP="00E277B6">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Pr>
          <w:sz w:val="24"/>
          <w:szCs w:val="24"/>
        </w:rPr>
        <w:lastRenderedPageBreak/>
        <w:t>По отношение на с</w:t>
      </w:r>
      <w:r w:rsidRPr="00EC3C78">
        <w:rPr>
          <w:sz w:val="24"/>
          <w:szCs w:val="24"/>
          <w:lang w:val="pl-PL"/>
        </w:rPr>
        <w:t>лужителите</w:t>
      </w:r>
      <w:r w:rsidRPr="00EC3C78">
        <w:rPr>
          <w:sz w:val="24"/>
          <w:szCs w:val="24"/>
        </w:rPr>
        <w:t xml:space="preserve"> </w:t>
      </w:r>
      <w:r w:rsidRPr="00EC3C78">
        <w:rPr>
          <w:sz w:val="24"/>
          <w:szCs w:val="24"/>
          <w:lang w:val="pl-PL"/>
        </w:rPr>
        <w:t>на</w:t>
      </w:r>
      <w:proofErr w:type="spellStart"/>
      <w:r w:rsidRPr="00EC3C78">
        <w:rPr>
          <w:sz w:val="24"/>
          <w:szCs w:val="24"/>
        </w:rPr>
        <w:t>ети</w:t>
      </w:r>
      <w:proofErr w:type="spellEnd"/>
      <w:r w:rsidRPr="00EC3C78">
        <w:rPr>
          <w:sz w:val="24"/>
          <w:szCs w:val="24"/>
        </w:rPr>
        <w:t xml:space="preserve"> на трудов договор в</w:t>
      </w:r>
      <w:r w:rsidRPr="00EC3C78">
        <w:rPr>
          <w:sz w:val="24"/>
          <w:szCs w:val="24"/>
          <w:lang w:val="pl-PL"/>
        </w:rPr>
        <w:t xml:space="preserve"> предприятието-кандидат</w:t>
      </w:r>
      <w:r w:rsidRPr="00EC3C78">
        <w:rPr>
          <w:sz w:val="24"/>
          <w:szCs w:val="24"/>
        </w:rPr>
        <w:t xml:space="preserve"> към</w:t>
      </w:r>
      <w:r w:rsidRPr="00EC3C78">
        <w:rPr>
          <w:sz w:val="24"/>
          <w:szCs w:val="24"/>
          <w:lang w:val="pl-PL"/>
        </w:rPr>
        <w:t xml:space="preserve"> дата</w:t>
      </w:r>
      <w:r w:rsidRPr="00EC3C78">
        <w:rPr>
          <w:sz w:val="24"/>
          <w:szCs w:val="24"/>
        </w:rPr>
        <w:t>та</w:t>
      </w:r>
      <w:r w:rsidRPr="00EC3C78">
        <w:rPr>
          <w:sz w:val="24"/>
          <w:szCs w:val="24"/>
          <w:lang w:val="pl-PL"/>
        </w:rPr>
        <w:t xml:space="preserve"> </w:t>
      </w:r>
      <w:r w:rsidRPr="00EC3C78">
        <w:rPr>
          <w:sz w:val="24"/>
          <w:szCs w:val="24"/>
        </w:rPr>
        <w:t>на</w:t>
      </w:r>
      <w:r w:rsidRPr="00EC3C78">
        <w:rPr>
          <w:sz w:val="24"/>
          <w:szCs w:val="24"/>
          <w:lang w:val="pl-PL"/>
        </w:rPr>
        <w:t xml:space="preserve"> подаване на проектн</w:t>
      </w:r>
      <w:proofErr w:type="spellStart"/>
      <w:r w:rsidRPr="00EC3C78">
        <w:rPr>
          <w:sz w:val="24"/>
          <w:szCs w:val="24"/>
        </w:rPr>
        <w:t>ото</w:t>
      </w:r>
      <w:proofErr w:type="spellEnd"/>
      <w:r w:rsidRPr="00EC3C78">
        <w:rPr>
          <w:sz w:val="24"/>
          <w:szCs w:val="24"/>
          <w:lang w:val="pl-PL"/>
        </w:rPr>
        <w:t xml:space="preserve"> предложени</w:t>
      </w:r>
      <w:r w:rsidRPr="00EC3C78">
        <w:rPr>
          <w:sz w:val="24"/>
          <w:szCs w:val="24"/>
        </w:rPr>
        <w:t>е</w:t>
      </w:r>
      <w:r>
        <w:rPr>
          <w:sz w:val="24"/>
          <w:szCs w:val="24"/>
        </w:rPr>
        <w:t>, к</w:t>
      </w:r>
      <w:r w:rsidRPr="00EC3C78">
        <w:rPr>
          <w:sz w:val="24"/>
          <w:szCs w:val="24"/>
        </w:rPr>
        <w:t>андидатът следва да представи съответните трудови договори, сключени с тези служители.</w:t>
      </w:r>
    </w:p>
    <w:p w:rsidR="009F63D0" w:rsidRPr="003C4AB6" w:rsidRDefault="00BF1DD8" w:rsidP="00E277B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к</w:t>
      </w:r>
      <w:r w:rsidR="0025610F" w:rsidRPr="003C4AB6">
        <w:rPr>
          <w:b/>
          <w:sz w:val="24"/>
          <w:szCs w:val="24"/>
        </w:rPr>
        <w:t>/</w:t>
      </w:r>
      <w:r w:rsidR="001A150E" w:rsidRPr="003C4AB6">
        <w:rPr>
          <w:b/>
          <w:sz w:val="24"/>
          <w:szCs w:val="24"/>
        </w:rPr>
        <w:t xml:space="preserve"> </w:t>
      </w:r>
      <w:r w:rsidR="001A150E" w:rsidRPr="003C4AB6">
        <w:rPr>
          <w:sz w:val="24"/>
          <w:szCs w:val="24"/>
        </w:rPr>
        <w:t>Документи, доказващи наличието на образователно-квалификационно ниво на екипа</w:t>
      </w:r>
      <w:r w:rsidR="00E277B6" w:rsidRPr="003C4AB6">
        <w:rPr>
          <w:sz w:val="24"/>
          <w:szCs w:val="24"/>
        </w:rPr>
        <w:t xml:space="preserve"> на кандидата</w:t>
      </w:r>
      <w:r w:rsidR="009B5D1D">
        <w:rPr>
          <w:sz w:val="24"/>
          <w:szCs w:val="24"/>
        </w:rPr>
        <w:t xml:space="preserve"> в областта на разработваната иновация</w:t>
      </w:r>
      <w:r w:rsidR="003B0B97">
        <w:rPr>
          <w:rStyle w:val="FootnoteReference"/>
          <w:sz w:val="24"/>
          <w:szCs w:val="24"/>
        </w:rPr>
        <w:footnoteReference w:id="24"/>
      </w:r>
      <w:r w:rsidR="00E277B6" w:rsidRPr="003C4AB6">
        <w:rPr>
          <w:sz w:val="24"/>
          <w:szCs w:val="24"/>
        </w:rPr>
        <w:t xml:space="preserve"> </w:t>
      </w:r>
      <w:r w:rsidR="001A150E" w:rsidRPr="003C4AB6">
        <w:rPr>
          <w:sz w:val="24"/>
          <w:szCs w:val="24"/>
        </w:rPr>
        <w:t>-</w:t>
      </w:r>
      <w:r w:rsidR="001A150E" w:rsidRPr="003C4AB6">
        <w:rPr>
          <w:b/>
          <w:sz w:val="24"/>
          <w:szCs w:val="24"/>
        </w:rPr>
        <w:t xml:space="preserve">  подписани с КЕП от лице с право да представлява кандидата</w:t>
      </w:r>
      <w:r w:rsidR="006D2EA8" w:rsidRPr="003C4AB6">
        <w:rPr>
          <w:rFonts w:ascii="Calibri" w:eastAsia="Calibri" w:hAnsi="Calibri" w:cs="Times New Roman"/>
          <w:b/>
          <w:sz w:val="24"/>
          <w:szCs w:val="24"/>
        </w:rPr>
        <w:t xml:space="preserve"> или упълномощено лице</w:t>
      </w:r>
      <w:r w:rsidR="001A150E" w:rsidRPr="003C4AB6">
        <w:rPr>
          <w:b/>
          <w:sz w:val="24"/>
          <w:szCs w:val="24"/>
        </w:rPr>
        <w:t xml:space="preserve"> и прикачен</w:t>
      </w:r>
      <w:r w:rsidR="00E277B6" w:rsidRPr="003C4AB6">
        <w:rPr>
          <w:b/>
          <w:sz w:val="24"/>
          <w:szCs w:val="24"/>
        </w:rPr>
        <w:t>и</w:t>
      </w:r>
      <w:r w:rsidR="001A150E" w:rsidRPr="003C4AB6">
        <w:rPr>
          <w:b/>
          <w:sz w:val="24"/>
          <w:szCs w:val="24"/>
        </w:rPr>
        <w:t xml:space="preserve"> в ИСУН 2020.</w:t>
      </w:r>
    </w:p>
    <w:p w:rsidR="00E277B6" w:rsidRPr="003C4AB6" w:rsidRDefault="00E277B6" w:rsidP="00E277B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може да получи по-малък брой точки или да не получи точки по критерий „</w:t>
      </w:r>
      <w:r w:rsidR="00DC7169" w:rsidRPr="003C4AB6">
        <w:rPr>
          <w:sz w:val="24"/>
          <w:szCs w:val="24"/>
        </w:rPr>
        <w:t>Образователно-квалификационно ниво на екипа на кандидата</w:t>
      </w:r>
      <w:r w:rsidRPr="003C4AB6">
        <w:rPr>
          <w:sz w:val="24"/>
          <w:szCs w:val="24"/>
        </w:rPr>
        <w:t>“.</w:t>
      </w:r>
    </w:p>
    <w:p w:rsidR="00DC7169" w:rsidRPr="003C4AB6" w:rsidRDefault="00DC7169" w:rsidP="00DC716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Документите по буква </w:t>
      </w:r>
      <w:r w:rsidR="00BF1DD8">
        <w:rPr>
          <w:sz w:val="24"/>
          <w:szCs w:val="24"/>
        </w:rPr>
        <w:t>к</w:t>
      </w:r>
      <w:r w:rsidRPr="003C4AB6">
        <w:rPr>
          <w:sz w:val="24"/>
          <w:szCs w:val="24"/>
        </w:rPr>
        <w:t>/ включват:</w:t>
      </w:r>
    </w:p>
    <w:p w:rsidR="002A48C1" w:rsidRPr="003C4AB6" w:rsidRDefault="00DC7169" w:rsidP="00DC7169">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 </w:t>
      </w:r>
      <w:r w:rsidR="002A48C1" w:rsidRPr="003C4AB6">
        <w:rPr>
          <w:sz w:val="24"/>
          <w:szCs w:val="24"/>
        </w:rPr>
        <w:t>диплома за придобита образователно-квалификационна степен „бакалавър“;</w:t>
      </w:r>
    </w:p>
    <w:p w:rsidR="00B10120" w:rsidRPr="003C4AB6" w:rsidRDefault="002A48C1" w:rsidP="00DC7169">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 </w:t>
      </w:r>
      <w:r w:rsidR="00E277B6" w:rsidRPr="003C4AB6">
        <w:rPr>
          <w:sz w:val="24"/>
          <w:szCs w:val="24"/>
        </w:rPr>
        <w:t xml:space="preserve">диплома за придобита образователно-квалификационна степен „магистър“; </w:t>
      </w:r>
    </w:p>
    <w:p w:rsidR="00E277B6" w:rsidRPr="003C4AB6" w:rsidRDefault="00B10120" w:rsidP="00F1377B">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 xml:space="preserve">- </w:t>
      </w:r>
      <w:r w:rsidR="00E277B6" w:rsidRPr="003C4AB6">
        <w:rPr>
          <w:sz w:val="24"/>
          <w:szCs w:val="24"/>
        </w:rPr>
        <w:t>диплома за образов</w:t>
      </w:r>
      <w:r w:rsidRPr="003C4AB6">
        <w:rPr>
          <w:sz w:val="24"/>
          <w:szCs w:val="24"/>
        </w:rPr>
        <w:t>ателна и научна степен "доктор"</w:t>
      </w:r>
      <w:r w:rsidR="00440797">
        <w:rPr>
          <w:sz w:val="24"/>
          <w:szCs w:val="24"/>
        </w:rPr>
        <w:t xml:space="preserve"> (или по-висока степен)</w:t>
      </w:r>
      <w:r w:rsidR="00440797" w:rsidRPr="003C4AB6">
        <w:rPr>
          <w:sz w:val="24"/>
          <w:szCs w:val="24"/>
        </w:rPr>
        <w:t>.</w:t>
      </w:r>
    </w:p>
    <w:p w:rsidR="008332A8" w:rsidRDefault="000E508E" w:rsidP="00292288">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sz w:val="24"/>
          <w:szCs w:val="24"/>
        </w:rPr>
      </w:pPr>
      <w:r>
        <w:rPr>
          <w:sz w:val="24"/>
          <w:szCs w:val="24"/>
        </w:rPr>
        <w:t xml:space="preserve"> </w:t>
      </w:r>
    </w:p>
    <w:p w:rsidR="006D390D" w:rsidRDefault="00BF1DD8" w:rsidP="004A0C3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Pr>
          <w:b/>
          <w:sz w:val="24"/>
          <w:szCs w:val="24"/>
        </w:rPr>
        <w:t>л</w:t>
      </w:r>
      <w:r w:rsidR="008332A8" w:rsidRPr="008332A8">
        <w:rPr>
          <w:b/>
          <w:sz w:val="24"/>
          <w:szCs w:val="24"/>
        </w:rPr>
        <w:t>/</w:t>
      </w:r>
      <w:r w:rsidR="008332A8">
        <w:rPr>
          <w:sz w:val="24"/>
          <w:szCs w:val="24"/>
        </w:rPr>
        <w:t xml:space="preserve"> </w:t>
      </w:r>
      <w:r w:rsidR="00D53A45" w:rsidRPr="00D53A45">
        <w:rPr>
          <w:sz w:val="24"/>
          <w:szCs w:val="24"/>
        </w:rPr>
        <w:t xml:space="preserve">Декларация за участие в проектно предложение – </w:t>
      </w:r>
      <w:r w:rsidR="004A0C3F" w:rsidRPr="003C4AB6">
        <w:rPr>
          <w:sz w:val="24"/>
          <w:szCs w:val="24"/>
        </w:rPr>
        <w:t>поп</w:t>
      </w:r>
      <w:r w:rsidR="004A0C3F">
        <w:rPr>
          <w:sz w:val="24"/>
          <w:szCs w:val="24"/>
        </w:rPr>
        <w:t xml:space="preserve">ълнена по образец (Приложение </w:t>
      </w:r>
      <w:r w:rsidR="00DD20EA">
        <w:rPr>
          <w:sz w:val="24"/>
          <w:szCs w:val="24"/>
        </w:rPr>
        <w:t>Ф</w:t>
      </w:r>
      <w:r w:rsidR="004A0C3F" w:rsidRPr="003C4AB6">
        <w:rPr>
          <w:sz w:val="24"/>
          <w:szCs w:val="24"/>
        </w:rPr>
        <w:t xml:space="preserve">) към </w:t>
      </w:r>
      <w:r w:rsidR="007B1E28">
        <w:rPr>
          <w:sz w:val="24"/>
          <w:szCs w:val="24"/>
        </w:rPr>
        <w:t>Условия</w:t>
      </w:r>
      <w:r w:rsidR="004A0C3F" w:rsidRPr="003C4AB6">
        <w:rPr>
          <w:sz w:val="24"/>
          <w:szCs w:val="24"/>
        </w:rPr>
        <w:t>т</w:t>
      </w:r>
      <w:r w:rsidR="005349F3">
        <w:rPr>
          <w:sz w:val="24"/>
          <w:szCs w:val="24"/>
        </w:rPr>
        <w:t>а</w:t>
      </w:r>
      <w:r w:rsidR="004A0C3F" w:rsidRPr="003C4AB6">
        <w:rPr>
          <w:sz w:val="24"/>
          <w:szCs w:val="24"/>
        </w:rPr>
        <w:t xml:space="preserve"> за кандидатстване </w:t>
      </w:r>
      <w:r w:rsidR="004A0C3F" w:rsidRPr="003C4AB6">
        <w:rPr>
          <w:b/>
          <w:sz w:val="24"/>
          <w:szCs w:val="24"/>
        </w:rPr>
        <w:t xml:space="preserve">– подписана </w:t>
      </w:r>
      <w:r w:rsidR="00AB640E">
        <w:rPr>
          <w:b/>
          <w:sz w:val="24"/>
          <w:szCs w:val="24"/>
        </w:rPr>
        <w:t>и датирана на хар</w:t>
      </w:r>
      <w:r w:rsidR="00AC6813">
        <w:rPr>
          <w:b/>
          <w:sz w:val="24"/>
          <w:szCs w:val="24"/>
        </w:rPr>
        <w:t>т</w:t>
      </w:r>
      <w:r w:rsidR="00AB640E">
        <w:rPr>
          <w:b/>
          <w:sz w:val="24"/>
          <w:szCs w:val="24"/>
        </w:rPr>
        <w:t>иен носител</w:t>
      </w:r>
      <w:r w:rsidR="004A0C3F" w:rsidRPr="003C4AB6">
        <w:rPr>
          <w:b/>
          <w:sz w:val="24"/>
          <w:szCs w:val="24"/>
        </w:rPr>
        <w:t xml:space="preserve"> </w:t>
      </w:r>
      <w:r w:rsidR="004A0C3F">
        <w:rPr>
          <w:b/>
          <w:sz w:val="24"/>
          <w:szCs w:val="24"/>
        </w:rPr>
        <w:t xml:space="preserve">от </w:t>
      </w:r>
      <w:r w:rsidR="00F24694">
        <w:rPr>
          <w:b/>
          <w:sz w:val="24"/>
          <w:szCs w:val="24"/>
        </w:rPr>
        <w:t>експертите</w:t>
      </w:r>
      <w:r w:rsidR="004A0C3F" w:rsidRPr="004A0C3F">
        <w:rPr>
          <w:b/>
          <w:sz w:val="24"/>
          <w:szCs w:val="24"/>
        </w:rPr>
        <w:t>, които предстои да бъдат наети на трудов договор в</w:t>
      </w:r>
      <w:r w:rsidR="004A0C3F" w:rsidRPr="004A0C3F">
        <w:rPr>
          <w:b/>
          <w:sz w:val="24"/>
          <w:szCs w:val="24"/>
          <w:lang w:val="pl-PL"/>
        </w:rPr>
        <w:t xml:space="preserve"> предприятието-кандидат</w:t>
      </w:r>
      <w:r w:rsidR="004A0C3F" w:rsidRPr="004A0C3F">
        <w:rPr>
          <w:b/>
          <w:sz w:val="24"/>
          <w:szCs w:val="24"/>
        </w:rPr>
        <w:t xml:space="preserve"> в рамките на един месец след сключване на </w:t>
      </w:r>
      <w:r w:rsidR="00C274E4">
        <w:rPr>
          <w:b/>
          <w:sz w:val="24"/>
          <w:szCs w:val="24"/>
        </w:rPr>
        <w:t xml:space="preserve">административния </w:t>
      </w:r>
      <w:r w:rsidR="004A0C3F" w:rsidRPr="004A0C3F">
        <w:rPr>
          <w:b/>
          <w:sz w:val="24"/>
          <w:szCs w:val="24"/>
        </w:rPr>
        <w:t>договор за безвъзмездна финансова помощ</w:t>
      </w:r>
      <w:r w:rsidR="006D390D">
        <w:rPr>
          <w:b/>
          <w:sz w:val="24"/>
          <w:szCs w:val="24"/>
        </w:rPr>
        <w:t>.</w:t>
      </w:r>
    </w:p>
    <w:p w:rsidR="006D390D" w:rsidRPr="0061630C" w:rsidRDefault="006D390D" w:rsidP="004A0C3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10"/>
          <w:szCs w:val="10"/>
        </w:rPr>
      </w:pPr>
    </w:p>
    <w:p w:rsidR="004A0C3F" w:rsidRPr="00C23CDC" w:rsidRDefault="005A2784" w:rsidP="004A0C3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BF624A">
        <w:rPr>
          <w:rFonts w:ascii="Calibri" w:eastAsia="Calibri" w:hAnsi="Calibri" w:cs="Times New Roman"/>
          <w:sz w:val="24"/>
          <w:szCs w:val="24"/>
        </w:rPr>
        <w:t>След попълването, подписването и</w:t>
      </w:r>
      <w:r w:rsidR="00BF624A">
        <w:rPr>
          <w:rFonts w:ascii="Calibri" w:eastAsia="Calibri" w:hAnsi="Calibri" w:cs="Times New Roman"/>
          <w:sz w:val="24"/>
          <w:szCs w:val="24"/>
        </w:rPr>
        <w:t xml:space="preserve"> </w:t>
      </w:r>
      <w:r w:rsidRPr="00BF624A">
        <w:rPr>
          <w:rFonts w:ascii="Calibri" w:eastAsia="Calibri" w:hAnsi="Calibri" w:cs="Times New Roman"/>
          <w:sz w:val="24"/>
          <w:szCs w:val="24"/>
        </w:rPr>
        <w:t>поставяне</w:t>
      </w:r>
      <w:r w:rsidR="00453643">
        <w:rPr>
          <w:rFonts w:ascii="Calibri" w:eastAsia="Calibri" w:hAnsi="Calibri" w:cs="Times New Roman"/>
          <w:sz w:val="24"/>
          <w:szCs w:val="24"/>
        </w:rPr>
        <w:t>то</w:t>
      </w:r>
      <w:r w:rsidRPr="00BF624A">
        <w:rPr>
          <w:rFonts w:ascii="Calibri" w:eastAsia="Calibri" w:hAnsi="Calibri" w:cs="Times New Roman"/>
          <w:sz w:val="24"/>
          <w:szCs w:val="24"/>
        </w:rPr>
        <w:t xml:space="preserve"> на дата на хартиения носител</w:t>
      </w:r>
      <w:r w:rsidR="006D390D" w:rsidRPr="00BF624A">
        <w:rPr>
          <w:sz w:val="24"/>
          <w:szCs w:val="24"/>
        </w:rPr>
        <w:t>,</w:t>
      </w:r>
      <w:r w:rsidR="006D390D" w:rsidRPr="00C23CDC">
        <w:rPr>
          <w:b/>
          <w:sz w:val="24"/>
          <w:szCs w:val="24"/>
        </w:rPr>
        <w:t xml:space="preserve"> </w:t>
      </w:r>
      <w:r w:rsidR="007D29A7" w:rsidRPr="00C23CDC">
        <w:rPr>
          <w:b/>
          <w:sz w:val="24"/>
          <w:szCs w:val="24"/>
        </w:rPr>
        <w:t xml:space="preserve"> </w:t>
      </w:r>
      <w:r w:rsidR="006D390D" w:rsidRPr="00C23CDC">
        <w:rPr>
          <w:b/>
          <w:sz w:val="24"/>
          <w:szCs w:val="24"/>
        </w:rPr>
        <w:t xml:space="preserve">Декларацията следва да се сканира, </w:t>
      </w:r>
      <w:r w:rsidR="0061630C" w:rsidRPr="00C23CDC">
        <w:rPr>
          <w:b/>
          <w:sz w:val="24"/>
          <w:szCs w:val="24"/>
        </w:rPr>
        <w:t>подпише с КЕП от лице с право да представлява кандидата или упълномощено лице и да се прикачи в</w:t>
      </w:r>
      <w:r w:rsidR="004A0C3F" w:rsidRPr="00C23CDC">
        <w:rPr>
          <w:b/>
          <w:sz w:val="24"/>
          <w:szCs w:val="24"/>
        </w:rPr>
        <w:t xml:space="preserve"> ИСУН 2020</w:t>
      </w:r>
      <w:r w:rsidR="00AC6813" w:rsidRPr="00C23CDC">
        <w:rPr>
          <w:b/>
          <w:sz w:val="24"/>
          <w:szCs w:val="24"/>
        </w:rPr>
        <w:t>.</w:t>
      </w:r>
    </w:p>
    <w:p w:rsidR="00F1377B" w:rsidRPr="003C4AB6" w:rsidRDefault="00F1377B" w:rsidP="00E931A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rsidR="00852820" w:rsidRPr="004F1CD6" w:rsidRDefault="00BF1DD8" w:rsidP="0029228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м</w:t>
      </w:r>
      <w:r w:rsidR="0025610F" w:rsidRPr="003C4AB6">
        <w:rPr>
          <w:b/>
          <w:sz w:val="24"/>
          <w:szCs w:val="24"/>
        </w:rPr>
        <w:t xml:space="preserve">/ </w:t>
      </w:r>
      <w:r w:rsidR="00DE5F3D" w:rsidRPr="003C4AB6">
        <w:rPr>
          <w:sz w:val="24"/>
          <w:szCs w:val="24"/>
        </w:rPr>
        <w:t xml:space="preserve">Документи, доказващи наличието на придобити права по интелектуална собственост от кандидата, управителя и/или </w:t>
      </w:r>
      <w:proofErr w:type="spellStart"/>
      <w:r w:rsidR="00DE5F3D" w:rsidRPr="003C4AB6">
        <w:rPr>
          <w:sz w:val="24"/>
          <w:szCs w:val="24"/>
        </w:rPr>
        <w:t>съдружниците</w:t>
      </w:r>
      <w:proofErr w:type="spellEnd"/>
      <w:r w:rsidR="00DE5F3D" w:rsidRPr="003C4AB6">
        <w:rPr>
          <w:sz w:val="24"/>
          <w:szCs w:val="24"/>
        </w:rPr>
        <w:t xml:space="preserve">  </w:t>
      </w:r>
      <w:r w:rsidR="00A5483C" w:rsidRPr="004F1CD6">
        <w:rPr>
          <w:sz w:val="24"/>
          <w:szCs w:val="24"/>
        </w:rPr>
        <w:t xml:space="preserve">(валиден патент за изобретение или валидно свидетелство за регистрация на полезен модел) </w:t>
      </w:r>
      <w:r w:rsidR="00DE5F3D" w:rsidRPr="004F1CD6">
        <w:rPr>
          <w:b/>
          <w:sz w:val="24"/>
          <w:szCs w:val="24"/>
        </w:rPr>
        <w:t xml:space="preserve">- </w:t>
      </w:r>
      <w:r w:rsidR="00CC5916" w:rsidRPr="004F1CD6">
        <w:rPr>
          <w:b/>
          <w:sz w:val="24"/>
          <w:szCs w:val="24"/>
        </w:rPr>
        <w:t>подписан</w:t>
      </w:r>
      <w:r w:rsidR="00D17B16" w:rsidRPr="004F1CD6">
        <w:rPr>
          <w:b/>
          <w:sz w:val="24"/>
          <w:szCs w:val="24"/>
        </w:rPr>
        <w:t>и</w:t>
      </w:r>
      <w:r w:rsidR="00CC5916" w:rsidRPr="004F1CD6">
        <w:rPr>
          <w:b/>
          <w:sz w:val="24"/>
          <w:szCs w:val="24"/>
        </w:rPr>
        <w:t xml:space="preserve"> с КЕП от лице с право да представлява кандидата</w:t>
      </w:r>
      <w:r w:rsidR="00DE5F3D" w:rsidRPr="004F1CD6">
        <w:rPr>
          <w:b/>
          <w:sz w:val="24"/>
          <w:szCs w:val="24"/>
        </w:rPr>
        <w:t xml:space="preserve"> </w:t>
      </w:r>
      <w:r w:rsidR="00FA776E" w:rsidRPr="004F1CD6">
        <w:rPr>
          <w:rFonts w:ascii="Calibri" w:eastAsia="Calibri" w:hAnsi="Calibri" w:cs="Times New Roman"/>
          <w:b/>
          <w:sz w:val="24"/>
          <w:szCs w:val="24"/>
        </w:rPr>
        <w:t>или упълномощено лице</w:t>
      </w:r>
      <w:r w:rsidR="00FA776E" w:rsidRPr="004F1CD6">
        <w:rPr>
          <w:b/>
          <w:sz w:val="24"/>
          <w:szCs w:val="24"/>
        </w:rPr>
        <w:t xml:space="preserve"> </w:t>
      </w:r>
      <w:r w:rsidR="00DE5F3D" w:rsidRPr="004F1CD6">
        <w:rPr>
          <w:b/>
          <w:sz w:val="24"/>
          <w:szCs w:val="24"/>
        </w:rPr>
        <w:t>и прикачен</w:t>
      </w:r>
      <w:r w:rsidR="00D17B16" w:rsidRPr="004F1CD6">
        <w:rPr>
          <w:b/>
          <w:sz w:val="24"/>
          <w:szCs w:val="24"/>
        </w:rPr>
        <w:t>и</w:t>
      </w:r>
      <w:r w:rsidR="00DE5F3D" w:rsidRPr="004F1CD6">
        <w:rPr>
          <w:b/>
          <w:sz w:val="24"/>
          <w:szCs w:val="24"/>
        </w:rPr>
        <w:t xml:space="preserve"> в ИСУН 2020. </w:t>
      </w:r>
    </w:p>
    <w:p w:rsidR="00DE5F3D" w:rsidRPr="004F1CD6" w:rsidRDefault="00852820"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F1CD6">
        <w:rPr>
          <w:sz w:val="24"/>
          <w:szCs w:val="24"/>
        </w:rPr>
        <w:t xml:space="preserve">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може да получи по-малък брой точки или да не получи точки по критерий </w:t>
      </w:r>
      <w:r w:rsidR="00F7506B" w:rsidRPr="004F1CD6">
        <w:rPr>
          <w:sz w:val="24"/>
          <w:szCs w:val="24"/>
        </w:rPr>
        <w:t xml:space="preserve">„Придобити права по интелектуална собственост от кандидата, управителя и/или </w:t>
      </w:r>
      <w:proofErr w:type="spellStart"/>
      <w:r w:rsidR="00F7506B" w:rsidRPr="004F1CD6">
        <w:rPr>
          <w:sz w:val="24"/>
          <w:szCs w:val="24"/>
        </w:rPr>
        <w:t>съдружниците</w:t>
      </w:r>
      <w:proofErr w:type="spellEnd"/>
      <w:r w:rsidR="00F7506B" w:rsidRPr="004F1CD6">
        <w:rPr>
          <w:sz w:val="24"/>
          <w:szCs w:val="24"/>
        </w:rPr>
        <w:t>“.</w:t>
      </w:r>
    </w:p>
    <w:p w:rsidR="00BF0CE1" w:rsidRPr="004F1CD6" w:rsidRDefault="00BF0CE1"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732F3" w:rsidRPr="003C4AB6" w:rsidRDefault="004F1CD6"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4F1CD6">
        <w:rPr>
          <w:b/>
          <w:sz w:val="24"/>
          <w:szCs w:val="24"/>
        </w:rPr>
        <w:t>н</w:t>
      </w:r>
      <w:r w:rsidR="00CB6282" w:rsidRPr="004F1CD6">
        <w:rPr>
          <w:b/>
          <w:sz w:val="24"/>
          <w:szCs w:val="24"/>
        </w:rPr>
        <w:t xml:space="preserve">/ </w:t>
      </w:r>
      <w:r w:rsidR="006E7727" w:rsidRPr="004F1CD6">
        <w:rPr>
          <w:sz w:val="24"/>
          <w:szCs w:val="24"/>
        </w:rPr>
        <w:t>Референция или договор, удостоверяващ участие на съответния член на екипа</w:t>
      </w:r>
      <w:r w:rsidR="00274DA1" w:rsidRPr="004F1CD6">
        <w:rPr>
          <w:sz w:val="24"/>
          <w:szCs w:val="24"/>
        </w:rPr>
        <w:t xml:space="preserve"> като ключов експерт</w:t>
      </w:r>
      <w:r w:rsidR="006E7727" w:rsidRPr="004F1CD6">
        <w:rPr>
          <w:sz w:val="24"/>
          <w:szCs w:val="24"/>
        </w:rPr>
        <w:t xml:space="preserve"> в проект</w:t>
      </w:r>
      <w:r w:rsidR="00274DA1" w:rsidRPr="004F1CD6">
        <w:rPr>
          <w:sz w:val="24"/>
          <w:szCs w:val="24"/>
        </w:rPr>
        <w:t xml:space="preserve"> в областта на разработваната иновация</w:t>
      </w:r>
      <w:r w:rsidR="006E7727" w:rsidRPr="004F1CD6">
        <w:rPr>
          <w:sz w:val="24"/>
          <w:szCs w:val="24"/>
        </w:rPr>
        <w:t>,</w:t>
      </w:r>
      <w:r w:rsidR="006E7727" w:rsidRPr="003C4AB6">
        <w:rPr>
          <w:sz w:val="24"/>
          <w:szCs w:val="24"/>
        </w:rPr>
        <w:t xml:space="preserve"> финансиран по Рамковите програми на ЕС</w:t>
      </w:r>
      <w:r w:rsidR="00CB6282" w:rsidRPr="003C4AB6">
        <w:rPr>
          <w:sz w:val="24"/>
          <w:szCs w:val="24"/>
        </w:rPr>
        <w:t xml:space="preserve"> -</w:t>
      </w:r>
      <w:r w:rsidR="00CB6282" w:rsidRPr="003C4AB6">
        <w:rPr>
          <w:b/>
          <w:sz w:val="24"/>
          <w:szCs w:val="24"/>
        </w:rPr>
        <w:t xml:space="preserve"> </w:t>
      </w:r>
      <w:r w:rsidR="00BD7417" w:rsidRPr="003C4AB6">
        <w:rPr>
          <w:b/>
          <w:sz w:val="24"/>
          <w:szCs w:val="24"/>
        </w:rPr>
        <w:t>подписан</w:t>
      </w:r>
      <w:r w:rsidR="006E7727" w:rsidRPr="003C4AB6">
        <w:rPr>
          <w:b/>
          <w:sz w:val="24"/>
          <w:szCs w:val="24"/>
        </w:rPr>
        <w:t>и</w:t>
      </w:r>
      <w:r w:rsidR="00BD7417" w:rsidRPr="003C4AB6">
        <w:rPr>
          <w:b/>
          <w:sz w:val="24"/>
          <w:szCs w:val="24"/>
        </w:rPr>
        <w:t xml:space="preserve"> с КЕП от лице с право да представлява кандидата </w:t>
      </w:r>
      <w:r w:rsidR="00356433" w:rsidRPr="003C4AB6">
        <w:rPr>
          <w:rFonts w:ascii="Calibri" w:eastAsia="Calibri" w:hAnsi="Calibri" w:cs="Times New Roman"/>
          <w:b/>
          <w:sz w:val="24"/>
          <w:szCs w:val="24"/>
        </w:rPr>
        <w:t xml:space="preserve">или упълномощено лице </w:t>
      </w:r>
      <w:r w:rsidR="00BD7417" w:rsidRPr="003C4AB6">
        <w:rPr>
          <w:b/>
          <w:sz w:val="24"/>
          <w:szCs w:val="24"/>
        </w:rPr>
        <w:t>и прикачен</w:t>
      </w:r>
      <w:r w:rsidR="004A7BF9" w:rsidRPr="003C4AB6">
        <w:rPr>
          <w:b/>
          <w:sz w:val="24"/>
          <w:szCs w:val="24"/>
        </w:rPr>
        <w:t>и</w:t>
      </w:r>
      <w:r w:rsidR="00BD7417" w:rsidRPr="003C4AB6">
        <w:rPr>
          <w:b/>
          <w:sz w:val="24"/>
          <w:szCs w:val="24"/>
        </w:rPr>
        <w:t xml:space="preserve"> в ИСУН 2020</w:t>
      </w:r>
      <w:r w:rsidR="00A732F3" w:rsidRPr="003C4AB6">
        <w:rPr>
          <w:b/>
          <w:sz w:val="24"/>
          <w:szCs w:val="24"/>
        </w:rPr>
        <w:t>.</w:t>
      </w:r>
    </w:p>
    <w:p w:rsidR="00A732F3" w:rsidRPr="003C4AB6" w:rsidRDefault="00A732F3"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EF5F3D" w:rsidRDefault="00BD7417"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lastRenderedPageBreak/>
        <w:t xml:space="preserve">Документът е незадължителен, но е необходим за техническата и финансова оценка на проектните предложения - непредставянето на съответния документ/и няма да доведе до отхвърляне на проектното предложение, но кандидатът </w:t>
      </w:r>
      <w:r w:rsidR="0034772C" w:rsidRPr="003C4AB6">
        <w:rPr>
          <w:sz w:val="24"/>
          <w:szCs w:val="24"/>
        </w:rPr>
        <w:t xml:space="preserve">няма да </w:t>
      </w:r>
      <w:r w:rsidRPr="003C4AB6">
        <w:rPr>
          <w:sz w:val="24"/>
          <w:szCs w:val="24"/>
        </w:rPr>
        <w:t>получи точки по критерий „</w:t>
      </w:r>
      <w:r w:rsidR="0034772C" w:rsidRPr="003C4AB6">
        <w:rPr>
          <w:sz w:val="24"/>
          <w:szCs w:val="24"/>
        </w:rPr>
        <w:t>Участие на членове на ек</w:t>
      </w:r>
      <w:r w:rsidR="00764173" w:rsidRPr="003C4AB6">
        <w:rPr>
          <w:sz w:val="24"/>
          <w:szCs w:val="24"/>
        </w:rPr>
        <w:t xml:space="preserve">ипа на кандидата </w:t>
      </w:r>
      <w:r w:rsidR="0034772C" w:rsidRPr="003C4AB6">
        <w:rPr>
          <w:sz w:val="24"/>
          <w:szCs w:val="24"/>
        </w:rPr>
        <w:t>в Рамковите програми на ЕС</w:t>
      </w:r>
      <w:r w:rsidRPr="003C4AB6">
        <w:rPr>
          <w:sz w:val="24"/>
          <w:szCs w:val="24"/>
        </w:rPr>
        <w:t>“.</w:t>
      </w:r>
    </w:p>
    <w:p w:rsidR="006831A4" w:rsidRPr="006831A4" w:rsidRDefault="006831A4"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6831A4" w:rsidRPr="003C4AB6" w:rsidRDefault="006831A4"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831A4">
        <w:rPr>
          <w:b/>
          <w:sz w:val="24"/>
          <w:szCs w:val="24"/>
        </w:rPr>
        <w:t>ВАЖНО:</w:t>
      </w:r>
      <w:r>
        <w:rPr>
          <w:sz w:val="24"/>
          <w:szCs w:val="24"/>
        </w:rPr>
        <w:t xml:space="preserve"> При представяне на референции, </w:t>
      </w:r>
      <w:r w:rsidRPr="006831A4">
        <w:rPr>
          <w:sz w:val="24"/>
          <w:szCs w:val="24"/>
        </w:rPr>
        <w:t>кандидатите следва да представят трудова книжка/служебна книжка/граждански договор, от които е видно, че в посочения период лицето е имало отношения със съответния работодател/организация.</w:t>
      </w:r>
    </w:p>
    <w:p w:rsidR="00871878" w:rsidRPr="003C4AB6" w:rsidRDefault="00871878"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71878" w:rsidRPr="003C4AB6" w:rsidRDefault="004F1CD6"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Pr>
          <w:b/>
          <w:sz w:val="24"/>
          <w:szCs w:val="24"/>
        </w:rPr>
        <w:t>о</w:t>
      </w:r>
      <w:r w:rsidR="00871878" w:rsidRPr="003C4AB6">
        <w:rPr>
          <w:b/>
          <w:sz w:val="24"/>
          <w:szCs w:val="24"/>
        </w:rPr>
        <w:t xml:space="preserve">/ </w:t>
      </w:r>
      <w:r w:rsidR="00862965" w:rsidRPr="003C4AB6">
        <w:rPr>
          <w:rFonts w:ascii="Calibri" w:eastAsia="Calibri" w:hAnsi="Calibri" w:cs="Times New Roman"/>
          <w:sz w:val="24"/>
          <w:szCs w:val="24"/>
        </w:rPr>
        <w:t>Пълномощно за подаване на проектното предложение с КЕП и подписване с КЕП на документите, за които не е изрично отбелязано в т. 2</w:t>
      </w:r>
      <w:r w:rsidR="003B4F94">
        <w:rPr>
          <w:rFonts w:ascii="Calibri" w:eastAsia="Calibri" w:hAnsi="Calibri" w:cs="Times New Roman"/>
          <w:sz w:val="24"/>
          <w:szCs w:val="24"/>
        </w:rPr>
        <w:t>4</w:t>
      </w:r>
      <w:r w:rsidR="00862965" w:rsidRPr="003C4AB6">
        <w:rPr>
          <w:rFonts w:ascii="Calibri" w:eastAsia="Calibri" w:hAnsi="Calibri" w:cs="Times New Roman"/>
          <w:sz w:val="24"/>
          <w:szCs w:val="24"/>
        </w:rPr>
        <w:t xml:space="preserve"> от </w:t>
      </w:r>
      <w:r w:rsidR="007B1E28">
        <w:rPr>
          <w:rFonts w:ascii="Calibri" w:eastAsia="Calibri" w:hAnsi="Calibri" w:cs="Times New Roman"/>
          <w:sz w:val="24"/>
          <w:szCs w:val="24"/>
        </w:rPr>
        <w:t>Условия</w:t>
      </w:r>
      <w:r w:rsidR="00862965" w:rsidRPr="003C4AB6">
        <w:rPr>
          <w:rFonts w:ascii="Calibri" w:eastAsia="Calibri" w:hAnsi="Calibri" w:cs="Times New Roman"/>
          <w:sz w:val="24"/>
          <w:szCs w:val="24"/>
        </w:rPr>
        <w:t>т</w:t>
      </w:r>
      <w:r w:rsidR="005349F3">
        <w:rPr>
          <w:rFonts w:ascii="Calibri" w:eastAsia="Calibri" w:hAnsi="Calibri" w:cs="Times New Roman"/>
          <w:sz w:val="24"/>
          <w:szCs w:val="24"/>
        </w:rPr>
        <w:t>а</w:t>
      </w:r>
      <w:r w:rsidR="00862965" w:rsidRPr="003C4AB6">
        <w:rPr>
          <w:rFonts w:ascii="Calibri" w:eastAsia="Calibri" w:hAnsi="Calibri" w:cs="Times New Roman"/>
          <w:sz w:val="24"/>
          <w:szCs w:val="24"/>
        </w:rPr>
        <w:t>, че не могат да се подписват от упълномощени лица, тъй като с тях се декларират данни, за които се носи наказателна отговорност</w:t>
      </w:r>
      <w:r w:rsidR="003F6F3B" w:rsidRPr="003C4AB6">
        <w:rPr>
          <w:rFonts w:ascii="Calibri" w:eastAsia="Calibri" w:hAnsi="Calibri" w:cs="Times New Roman"/>
          <w:sz w:val="24"/>
          <w:szCs w:val="24"/>
        </w:rPr>
        <w:t xml:space="preserve"> (ако е приложимо)</w:t>
      </w:r>
      <w:r w:rsidR="00862965" w:rsidRPr="003C4AB6">
        <w:rPr>
          <w:rFonts w:ascii="Calibri" w:eastAsia="Calibri" w:hAnsi="Calibri" w:cs="Times New Roman"/>
          <w:sz w:val="24"/>
          <w:szCs w:val="24"/>
        </w:rPr>
        <w:t xml:space="preserve">  -  </w:t>
      </w:r>
      <w:r w:rsidR="00862965" w:rsidRPr="003C4AB6">
        <w:rPr>
          <w:rFonts w:ascii="Calibri" w:eastAsia="Calibri" w:hAnsi="Calibri" w:cs="Times New Roman"/>
          <w:b/>
          <w:sz w:val="24"/>
          <w:szCs w:val="24"/>
        </w:rPr>
        <w:t>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w:t>
      </w:r>
      <w:r w:rsidR="00862965" w:rsidRPr="003C4AB6">
        <w:rPr>
          <w:rFonts w:ascii="Calibri" w:eastAsia="Calibri" w:hAnsi="Calibri" w:cs="Times New Roman"/>
          <w:sz w:val="24"/>
          <w:szCs w:val="24"/>
        </w:rPr>
        <w:t>.</w:t>
      </w:r>
    </w:p>
    <w:p w:rsidR="008311D5" w:rsidRPr="008311D5" w:rsidRDefault="008311D5"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9120A9" w:rsidRDefault="009120A9"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 и да подпише с КЕП  документите, за които не е изрично отбелязано, че не могат да се подписват от упълномощени лица.</w:t>
      </w:r>
    </w:p>
    <w:p w:rsidR="008311D5" w:rsidRDefault="008311D5"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311D5" w:rsidRDefault="004F1CD6"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Pr>
          <w:b/>
          <w:sz w:val="24"/>
          <w:szCs w:val="24"/>
        </w:rPr>
        <w:t>п</w:t>
      </w:r>
      <w:r w:rsidR="008311D5" w:rsidRPr="008311D5">
        <w:rPr>
          <w:b/>
          <w:sz w:val="24"/>
          <w:szCs w:val="24"/>
        </w:rPr>
        <w:t>/</w:t>
      </w:r>
      <w:r w:rsidR="008311D5">
        <w:rPr>
          <w:sz w:val="24"/>
          <w:szCs w:val="24"/>
        </w:rPr>
        <w:t xml:space="preserve"> </w:t>
      </w:r>
      <w:r w:rsidR="008311D5" w:rsidRPr="008311D5">
        <w:rPr>
          <w:rFonts w:ascii="Calibri" w:eastAsia="Calibri" w:hAnsi="Calibri" w:cs="Times New Roman"/>
          <w:sz w:val="24"/>
          <w:szCs w:val="24"/>
        </w:rPr>
        <w:t>Счетоводна политика на кандидата, изготвена съгласно приложимите счетоводни стандарти</w:t>
      </w:r>
      <w:r w:rsidR="00BF65AC">
        <w:rPr>
          <w:rFonts w:ascii="Calibri" w:eastAsia="Calibri" w:hAnsi="Calibri" w:cs="Times New Roman"/>
          <w:sz w:val="24"/>
          <w:szCs w:val="24"/>
        </w:rPr>
        <w:t xml:space="preserve"> (незадължителен документ)</w:t>
      </w:r>
      <w:r w:rsidR="008311D5" w:rsidRPr="008311D5">
        <w:rPr>
          <w:rFonts w:ascii="Calibri" w:eastAsia="Calibri" w:hAnsi="Calibri" w:cs="Times New Roman"/>
          <w:sz w:val="24"/>
          <w:szCs w:val="24"/>
        </w:rPr>
        <w:t xml:space="preserve"> – </w:t>
      </w:r>
      <w:r w:rsidR="008311D5" w:rsidRPr="008311D5">
        <w:rPr>
          <w:rFonts w:ascii="Calibri" w:eastAsia="Calibri" w:hAnsi="Calibri" w:cs="Times New Roman"/>
          <w:b/>
          <w:sz w:val="24"/>
          <w:szCs w:val="24"/>
        </w:rPr>
        <w:t>подписана с КЕП от лице с право да представлява кандидата или упълномощено лице и прикачена в ИСУН 2020</w:t>
      </w:r>
      <w:r w:rsidR="008311D5" w:rsidRPr="008311D5">
        <w:rPr>
          <w:rFonts w:ascii="Calibri" w:eastAsia="Calibri" w:hAnsi="Calibri" w:cs="Times New Roman"/>
          <w:sz w:val="24"/>
          <w:szCs w:val="24"/>
        </w:rPr>
        <w:t>.</w:t>
      </w:r>
    </w:p>
    <w:p w:rsidR="007650B3" w:rsidRDefault="007650B3"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p>
    <w:p w:rsidR="00DF44F0" w:rsidRPr="003C4AB6" w:rsidRDefault="007650B3" w:rsidP="00A94F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650B3">
        <w:rPr>
          <w:sz w:val="24"/>
          <w:szCs w:val="24"/>
        </w:rPr>
        <w:t>Документът е незадължителен и непредставянето му няма да доведе до отхвърляне на проектното предложение, но оценката на допустимостта на разходите за ДМА и ДНА ще бъде извършвана съгласно стойностния пр</w:t>
      </w:r>
      <w:r w:rsidR="009014B1">
        <w:rPr>
          <w:sz w:val="24"/>
          <w:szCs w:val="24"/>
        </w:rPr>
        <w:t xml:space="preserve">аг на същественост, определен </w:t>
      </w:r>
      <w:r w:rsidR="00080DA3">
        <w:rPr>
          <w:sz w:val="24"/>
          <w:szCs w:val="24"/>
        </w:rPr>
        <w:t xml:space="preserve">съответно </w:t>
      </w:r>
      <w:r w:rsidR="009014B1" w:rsidRPr="009014B1">
        <w:rPr>
          <w:sz w:val="24"/>
          <w:szCs w:val="24"/>
        </w:rPr>
        <w:t>в чл. 50, т. 2 и чл. 51, ал. 1, т. 1, г</w:t>
      </w:r>
      <w:r w:rsidR="009014B1" w:rsidRPr="009014B1">
        <w:rPr>
          <w:sz w:val="24"/>
          <w:szCs w:val="24"/>
          <w:lang w:val="en-US"/>
        </w:rPr>
        <w:t>)</w:t>
      </w:r>
      <w:r w:rsidR="009014B1" w:rsidRPr="009014B1">
        <w:rPr>
          <w:sz w:val="24"/>
          <w:szCs w:val="24"/>
        </w:rPr>
        <w:t xml:space="preserve">, </w:t>
      </w:r>
      <w:proofErr w:type="spellStart"/>
      <w:r w:rsidR="009014B1" w:rsidRPr="009014B1">
        <w:rPr>
          <w:sz w:val="24"/>
          <w:szCs w:val="24"/>
        </w:rPr>
        <w:t>бб</w:t>
      </w:r>
      <w:proofErr w:type="spellEnd"/>
      <w:r w:rsidR="009014B1" w:rsidRPr="009014B1">
        <w:rPr>
          <w:sz w:val="24"/>
          <w:szCs w:val="24"/>
          <w:lang w:val="en-US"/>
        </w:rPr>
        <w:t>)</w:t>
      </w:r>
      <w:r w:rsidR="009014B1" w:rsidRPr="009014B1">
        <w:rPr>
          <w:sz w:val="24"/>
          <w:szCs w:val="24"/>
        </w:rPr>
        <w:t xml:space="preserve"> от ЗКПО</w:t>
      </w:r>
      <w:r w:rsidR="009014B1">
        <w:rPr>
          <w:sz w:val="24"/>
          <w:szCs w:val="24"/>
        </w:rPr>
        <w:t>.</w:t>
      </w:r>
    </w:p>
    <w:p w:rsidR="000D10A3" w:rsidRPr="003C4AB6" w:rsidRDefault="000D10A3" w:rsidP="00FC3D12">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3C4AB6">
        <w:rPr>
          <w:sz w:val="24"/>
          <w:szCs w:val="24"/>
        </w:rPr>
        <w:t xml:space="preserve">Кандидатите следва да се уверят, че всички документи са представени в изискуемата форма (всички декларации са попълнени по образец и са подписани </w:t>
      </w:r>
      <w:r w:rsidR="00957933" w:rsidRPr="003C4AB6">
        <w:rPr>
          <w:sz w:val="24"/>
          <w:szCs w:val="24"/>
        </w:rPr>
        <w:t xml:space="preserve"> с КЕП от </w:t>
      </w:r>
      <w:r w:rsidR="00083FF3" w:rsidRPr="003C4AB6">
        <w:rPr>
          <w:sz w:val="24"/>
          <w:szCs w:val="24"/>
        </w:rPr>
        <w:t xml:space="preserve">съответния брой лица, който </w:t>
      </w:r>
      <w:r w:rsidRPr="003C4AB6">
        <w:rPr>
          <w:sz w:val="24"/>
          <w:szCs w:val="24"/>
        </w:rPr>
        <w:t xml:space="preserve">се изисква съгласно </w:t>
      </w:r>
      <w:r w:rsidR="00D317C6" w:rsidRPr="003C4AB6">
        <w:rPr>
          <w:sz w:val="24"/>
          <w:szCs w:val="24"/>
        </w:rPr>
        <w:t xml:space="preserve">настоящите </w:t>
      </w:r>
      <w:r w:rsidR="007B1E28">
        <w:rPr>
          <w:sz w:val="24"/>
          <w:szCs w:val="24"/>
        </w:rPr>
        <w:t>Условия</w:t>
      </w:r>
      <w:r w:rsidR="00D317C6" w:rsidRPr="003C4AB6">
        <w:rPr>
          <w:sz w:val="24"/>
          <w:szCs w:val="24"/>
        </w:rPr>
        <w:t xml:space="preserve"> за кандидатстване</w:t>
      </w:r>
      <w:r w:rsidRPr="003C4AB6">
        <w:rPr>
          <w:sz w:val="24"/>
          <w:szCs w:val="24"/>
        </w:rPr>
        <w:t xml:space="preserve">). </w:t>
      </w:r>
    </w:p>
    <w:p w:rsidR="00851C93" w:rsidRDefault="00FC3D12" w:rsidP="00FC3D12">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snapToGrid w:val="0"/>
          <w:sz w:val="24"/>
          <w:szCs w:val="24"/>
        </w:rPr>
      </w:pPr>
      <w:r w:rsidRPr="003C4AB6">
        <w:rPr>
          <w:rFonts w:eastAsia="Times New Roman" w:cstheme="minorHAnsi"/>
          <w:snapToGrid w:val="0"/>
          <w:sz w:val="24"/>
          <w:szCs w:val="24"/>
        </w:rPr>
        <w:t xml:space="preserve">В случай че </w:t>
      </w:r>
      <w:r w:rsidR="00A8104F" w:rsidRPr="00A8104F">
        <w:rPr>
          <w:rFonts w:ascii="Calibri" w:eastAsia="Times New Roman" w:hAnsi="Calibri" w:cs="Calibri"/>
          <w:snapToGrid w:val="0"/>
          <w:sz w:val="24"/>
          <w:szCs w:val="24"/>
        </w:rPr>
        <w:t xml:space="preserve">при проверката на </w:t>
      </w:r>
      <w:r w:rsidRPr="003C4AB6">
        <w:rPr>
          <w:rFonts w:eastAsia="Times New Roman" w:cstheme="minorHAnsi"/>
          <w:snapToGrid w:val="0"/>
          <w:sz w:val="24"/>
          <w:szCs w:val="24"/>
        </w:rPr>
        <w:t>документи</w:t>
      </w:r>
      <w:r w:rsidR="00862965" w:rsidRPr="003C4AB6">
        <w:rPr>
          <w:rFonts w:eastAsia="Times New Roman" w:cstheme="minorHAnsi"/>
          <w:snapToGrid w:val="0"/>
          <w:sz w:val="24"/>
          <w:szCs w:val="24"/>
        </w:rPr>
        <w:t>те</w:t>
      </w:r>
      <w:r w:rsidRPr="003C4AB6">
        <w:rPr>
          <w:rFonts w:eastAsia="Times New Roman" w:cstheme="minorHAnsi"/>
          <w:snapToGrid w:val="0"/>
          <w:sz w:val="24"/>
          <w:szCs w:val="24"/>
        </w:rPr>
        <w:t xml:space="preserve"> </w:t>
      </w:r>
      <w:r w:rsidR="001748BC" w:rsidRPr="003C4AB6">
        <w:rPr>
          <w:rFonts w:eastAsia="Times New Roman" w:cstheme="minorHAnsi"/>
          <w:snapToGrid w:val="0"/>
          <w:sz w:val="24"/>
          <w:szCs w:val="24"/>
        </w:rPr>
        <w:t>по букви от а</w:t>
      </w:r>
      <w:r w:rsidR="0036324D" w:rsidRPr="003C4AB6">
        <w:rPr>
          <w:rFonts w:eastAsia="Times New Roman" w:cstheme="minorHAnsi"/>
          <w:snapToGrid w:val="0"/>
          <w:sz w:val="24"/>
          <w:szCs w:val="24"/>
        </w:rPr>
        <w:t>/ до</w:t>
      </w:r>
      <w:r w:rsidR="001748BC" w:rsidRPr="003C4AB6">
        <w:rPr>
          <w:rFonts w:eastAsia="Times New Roman" w:cstheme="minorHAnsi"/>
          <w:snapToGrid w:val="0"/>
          <w:sz w:val="24"/>
          <w:szCs w:val="24"/>
        </w:rPr>
        <w:t xml:space="preserve"> </w:t>
      </w:r>
      <w:r w:rsidR="007000ED">
        <w:rPr>
          <w:rFonts w:eastAsia="Times New Roman" w:cstheme="minorHAnsi"/>
          <w:snapToGrid w:val="0"/>
          <w:sz w:val="24"/>
          <w:szCs w:val="24"/>
        </w:rPr>
        <w:t>ж</w:t>
      </w:r>
      <w:r w:rsidR="001748BC" w:rsidRPr="003C4AB6">
        <w:rPr>
          <w:rFonts w:eastAsia="Times New Roman" w:cstheme="minorHAnsi"/>
          <w:snapToGrid w:val="0"/>
          <w:sz w:val="24"/>
          <w:szCs w:val="24"/>
        </w:rPr>
        <w:t>/</w:t>
      </w:r>
      <w:r w:rsidR="00A8104F">
        <w:rPr>
          <w:rFonts w:eastAsia="Times New Roman" w:cstheme="minorHAnsi"/>
          <w:snapToGrid w:val="0"/>
          <w:sz w:val="24"/>
          <w:szCs w:val="24"/>
        </w:rPr>
        <w:t xml:space="preserve"> </w:t>
      </w:r>
      <w:r w:rsidR="001748BC" w:rsidRPr="003C4AB6">
        <w:rPr>
          <w:rFonts w:eastAsia="Times New Roman" w:cstheme="minorHAnsi"/>
          <w:snapToGrid w:val="0"/>
          <w:sz w:val="24"/>
          <w:szCs w:val="24"/>
        </w:rPr>
        <w:t xml:space="preserve">и от </w:t>
      </w:r>
      <w:r w:rsidR="007000ED">
        <w:rPr>
          <w:rFonts w:eastAsia="Times New Roman" w:cstheme="minorHAnsi"/>
          <w:snapToGrid w:val="0"/>
          <w:sz w:val="24"/>
          <w:szCs w:val="24"/>
        </w:rPr>
        <w:t>й</w:t>
      </w:r>
      <w:r w:rsidR="00A2349D" w:rsidRPr="003C4AB6">
        <w:rPr>
          <w:rFonts w:eastAsia="Times New Roman" w:cstheme="minorHAnsi"/>
          <w:snapToGrid w:val="0"/>
          <w:sz w:val="24"/>
          <w:szCs w:val="24"/>
        </w:rPr>
        <w:t>/ до</w:t>
      </w:r>
      <w:r w:rsidR="0036324D" w:rsidRPr="003C4AB6">
        <w:rPr>
          <w:rFonts w:eastAsia="Times New Roman" w:cstheme="minorHAnsi"/>
          <w:snapToGrid w:val="0"/>
          <w:sz w:val="24"/>
          <w:szCs w:val="24"/>
        </w:rPr>
        <w:t xml:space="preserve"> </w:t>
      </w:r>
      <w:r w:rsidR="004F1CD6">
        <w:rPr>
          <w:rFonts w:eastAsia="Times New Roman" w:cstheme="minorHAnsi"/>
          <w:snapToGrid w:val="0"/>
          <w:sz w:val="24"/>
          <w:szCs w:val="24"/>
        </w:rPr>
        <w:t>о</w:t>
      </w:r>
      <w:r w:rsidR="0036324D" w:rsidRPr="003C4AB6">
        <w:rPr>
          <w:rFonts w:eastAsia="Times New Roman" w:cstheme="minorHAnsi"/>
          <w:snapToGrid w:val="0"/>
          <w:sz w:val="24"/>
          <w:szCs w:val="24"/>
        </w:rPr>
        <w:t xml:space="preserve">/ </w:t>
      </w:r>
      <w:r w:rsidR="00C1545B" w:rsidRPr="00C1545B">
        <w:rPr>
          <w:rFonts w:ascii="Calibri" w:eastAsia="Times New Roman" w:hAnsi="Calibri" w:cs="Calibri"/>
          <w:snapToGrid w:val="0"/>
          <w:sz w:val="24"/>
          <w:szCs w:val="24"/>
        </w:rPr>
        <w:t>бъде установена липса на до</w:t>
      </w:r>
      <w:r w:rsidR="00851C93">
        <w:rPr>
          <w:rFonts w:ascii="Calibri" w:eastAsia="Times New Roman" w:hAnsi="Calibri" w:cs="Calibri"/>
          <w:snapToGrid w:val="0"/>
          <w:sz w:val="24"/>
          <w:szCs w:val="24"/>
        </w:rPr>
        <w:t>кументи и/или друга нередовност</w:t>
      </w:r>
      <w:r w:rsidR="00C1545B" w:rsidRPr="00C1545B">
        <w:rPr>
          <w:rFonts w:ascii="Calibri" w:eastAsia="Times New Roman" w:hAnsi="Calibri" w:cs="Calibri"/>
          <w:snapToGrid w:val="0"/>
          <w:sz w:val="24"/>
          <w:szCs w:val="24"/>
        </w:rPr>
        <w:t xml:space="preserve">, Оценителната комисия ще изпраща до кандидатите уведомление за установените </w:t>
      </w:r>
      <w:proofErr w:type="spellStart"/>
      <w:r w:rsidR="00C1545B" w:rsidRPr="00C1545B">
        <w:rPr>
          <w:rFonts w:ascii="Calibri" w:eastAsia="Times New Roman" w:hAnsi="Calibri" w:cs="Calibri"/>
          <w:snapToGrid w:val="0"/>
          <w:sz w:val="24"/>
          <w:szCs w:val="24"/>
        </w:rPr>
        <w:t>нередовности</w:t>
      </w:r>
      <w:proofErr w:type="spellEnd"/>
      <w:r w:rsidR="00C1545B" w:rsidRPr="00C1545B">
        <w:rPr>
          <w:rFonts w:ascii="Calibri" w:eastAsia="Times New Roman" w:hAnsi="Calibri" w:cs="Calibri"/>
          <w:snapToGrid w:val="0"/>
          <w:sz w:val="24"/>
          <w:szCs w:val="24"/>
        </w:rPr>
        <w:t xml:space="preserve">. Кандидатите следва да </w:t>
      </w:r>
      <w:r w:rsidR="00235162" w:rsidRPr="00235162">
        <w:rPr>
          <w:rFonts w:ascii="Calibri" w:eastAsia="Times New Roman" w:hAnsi="Calibri" w:cs="Calibri"/>
          <w:snapToGrid w:val="0"/>
          <w:sz w:val="24"/>
          <w:szCs w:val="24"/>
        </w:rPr>
        <w:t>представят липсващите документи</w:t>
      </w:r>
      <w:r w:rsidR="00235162">
        <w:rPr>
          <w:rFonts w:ascii="Calibri" w:eastAsia="Times New Roman" w:hAnsi="Calibri" w:cs="Calibri"/>
          <w:snapToGrid w:val="0"/>
          <w:sz w:val="24"/>
          <w:szCs w:val="24"/>
        </w:rPr>
        <w:t>/</w:t>
      </w:r>
      <w:r w:rsidR="00C1545B" w:rsidRPr="00C1545B">
        <w:rPr>
          <w:rFonts w:ascii="Calibri" w:eastAsia="Times New Roman" w:hAnsi="Calibri" w:cs="Calibri"/>
          <w:snapToGrid w:val="0"/>
          <w:sz w:val="24"/>
          <w:szCs w:val="24"/>
        </w:rPr>
        <w:t xml:space="preserve">отстранят </w:t>
      </w:r>
      <w:proofErr w:type="spellStart"/>
      <w:r w:rsidR="00C1545B" w:rsidRPr="00C1545B">
        <w:rPr>
          <w:rFonts w:ascii="Calibri" w:eastAsia="Times New Roman" w:hAnsi="Calibri" w:cs="Calibri"/>
          <w:snapToGrid w:val="0"/>
          <w:sz w:val="24"/>
          <w:szCs w:val="24"/>
        </w:rPr>
        <w:t>нередовностите</w:t>
      </w:r>
      <w:proofErr w:type="spellEnd"/>
      <w:r w:rsidR="00C1545B" w:rsidRPr="00C1545B">
        <w:rPr>
          <w:rFonts w:ascii="Calibri" w:eastAsia="Times New Roman" w:hAnsi="Calibri" w:cs="Calibri"/>
          <w:snapToGrid w:val="0"/>
          <w:sz w:val="24"/>
          <w:szCs w:val="24"/>
        </w:rPr>
        <w:t xml:space="preserve"> в срок от една седмица  от датата на получаване на уведомлението, като денят на получаването му не се брои. Уведомленията за установени </w:t>
      </w:r>
      <w:proofErr w:type="spellStart"/>
      <w:r w:rsidR="00C1545B" w:rsidRPr="00C1545B">
        <w:rPr>
          <w:rFonts w:ascii="Calibri" w:eastAsia="Times New Roman" w:hAnsi="Calibri" w:cs="Calibri"/>
          <w:snapToGrid w:val="0"/>
          <w:sz w:val="24"/>
          <w:szCs w:val="24"/>
        </w:rPr>
        <w:t>нередовности</w:t>
      </w:r>
      <w:proofErr w:type="spellEnd"/>
      <w:r w:rsidR="00C1545B" w:rsidRPr="00C1545B">
        <w:rPr>
          <w:rFonts w:ascii="Calibri" w:eastAsia="Times New Roman" w:hAnsi="Calibri" w:cs="Calibri"/>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уведомленията се счита датата, отбелязана в ИСУН 2020, на която </w:t>
      </w:r>
      <w:r w:rsidR="00C1545B" w:rsidRPr="00C1545B">
        <w:rPr>
          <w:rFonts w:ascii="Calibri" w:eastAsia="Times New Roman" w:hAnsi="Calibri" w:cs="Calibri"/>
          <w:snapToGrid w:val="0"/>
          <w:sz w:val="24"/>
          <w:szCs w:val="24"/>
        </w:rPr>
        <w:lastRenderedPageBreak/>
        <w:t xml:space="preserve">кандидатът е влязъл в профила си, за да провери съдържанието на изпратеното чрез ИСУН искане. В случай че посоченото действие не бъде отразено в ИСУН в рамките на 3 дни от изпращане на уведомлението, срокът за отстраняване на </w:t>
      </w:r>
      <w:proofErr w:type="spellStart"/>
      <w:r w:rsidR="00C1545B" w:rsidRPr="00C1545B">
        <w:rPr>
          <w:rFonts w:ascii="Calibri" w:eastAsia="Times New Roman" w:hAnsi="Calibri" w:cs="Calibri"/>
          <w:snapToGrid w:val="0"/>
          <w:sz w:val="24"/>
          <w:szCs w:val="24"/>
        </w:rPr>
        <w:t>нередовностите</w:t>
      </w:r>
      <w:proofErr w:type="spellEnd"/>
      <w:r w:rsidR="00C1545B" w:rsidRPr="00C1545B">
        <w:rPr>
          <w:rFonts w:ascii="Calibri" w:eastAsia="Times New Roman" w:hAnsi="Calibri" w:cs="Calibri"/>
          <w:snapToGrid w:val="0"/>
          <w:sz w:val="24"/>
          <w:szCs w:val="24"/>
        </w:rPr>
        <w:t xml:space="preserve"> започва да тече от деня, следващ изтичането на 3 дневния срок.</w:t>
      </w:r>
    </w:p>
    <w:p w:rsidR="00851C93" w:rsidRPr="00851C93" w:rsidRDefault="00851C93" w:rsidP="00851C93">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snapToGrid w:val="0"/>
          <w:sz w:val="24"/>
          <w:szCs w:val="24"/>
        </w:rPr>
      </w:pPr>
      <w:r w:rsidRPr="00851C93">
        <w:rPr>
          <w:rFonts w:eastAsia="Times New Roman" w:cstheme="minorHAnsi"/>
          <w:snapToGrid w:val="0"/>
          <w:sz w:val="24"/>
          <w:szCs w:val="24"/>
        </w:rPr>
        <w:t xml:space="preserve">Неотстраняването на </w:t>
      </w:r>
      <w:proofErr w:type="spellStart"/>
      <w:r w:rsidRPr="00851C93">
        <w:rPr>
          <w:rFonts w:eastAsia="Times New Roman" w:cstheme="minorHAnsi"/>
          <w:snapToGrid w:val="0"/>
          <w:sz w:val="24"/>
          <w:szCs w:val="24"/>
        </w:rPr>
        <w:t>нередовностите</w:t>
      </w:r>
      <w:proofErr w:type="spellEnd"/>
      <w:r w:rsidRPr="00851C93">
        <w:rPr>
          <w:rFonts w:eastAsia="Times New Roman" w:cstheme="minorHAnsi"/>
          <w:snapToGrid w:val="0"/>
          <w:sz w:val="24"/>
          <w:szCs w:val="24"/>
        </w:rPr>
        <w:t xml:space="preserve"> в срок може да доведе до прекратяване на производството по отношение на кандидата</w:t>
      </w:r>
      <w:r w:rsidR="006724B8">
        <w:rPr>
          <w:rFonts w:eastAsia="Times New Roman" w:cstheme="minorHAnsi"/>
          <w:snapToGrid w:val="0"/>
          <w:sz w:val="24"/>
          <w:szCs w:val="24"/>
        </w:rPr>
        <w:t xml:space="preserve">, </w:t>
      </w:r>
      <w:r w:rsidRPr="00851C93">
        <w:rPr>
          <w:rFonts w:eastAsia="Times New Roman" w:cstheme="minorHAnsi"/>
          <w:snapToGrid w:val="0"/>
          <w:sz w:val="24"/>
          <w:szCs w:val="24"/>
        </w:rPr>
        <w:t>до получаване на по-малък брой точки от проектното предложение</w:t>
      </w:r>
      <w:r w:rsidR="006724B8">
        <w:rPr>
          <w:rFonts w:eastAsia="Times New Roman" w:cstheme="minorHAnsi"/>
          <w:snapToGrid w:val="0"/>
          <w:sz w:val="24"/>
          <w:szCs w:val="24"/>
        </w:rPr>
        <w:t xml:space="preserve"> или до редуциране на разходи в бюджета на проекта</w:t>
      </w:r>
      <w:r w:rsidRPr="00851C93">
        <w:rPr>
          <w:rFonts w:eastAsia="Times New Roman" w:cstheme="minorHAnsi"/>
          <w:snapToGrid w:val="0"/>
          <w:sz w:val="24"/>
          <w:szCs w:val="24"/>
        </w:rPr>
        <w:t>.</w:t>
      </w:r>
    </w:p>
    <w:p w:rsidR="00FC3D12" w:rsidRPr="003C4AB6" w:rsidRDefault="00FC3D12" w:rsidP="00FC3D12">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snapToGrid w:val="0"/>
          <w:sz w:val="24"/>
          <w:szCs w:val="24"/>
        </w:rPr>
      </w:pPr>
      <w:r w:rsidRPr="003C4AB6">
        <w:rPr>
          <w:rFonts w:eastAsia="Times New Roman" w:cstheme="minorHAnsi"/>
          <w:snapToGrid w:val="0"/>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w:t>
      </w:r>
      <w:r w:rsidR="00E1580F" w:rsidRPr="003C4AB6">
        <w:rPr>
          <w:rFonts w:eastAsia="Times New Roman" w:cstheme="minorHAnsi"/>
          <w:snapToGrid w:val="0"/>
          <w:sz w:val="24"/>
          <w:szCs w:val="24"/>
        </w:rPr>
        <w:t>, представени съгласно т. 2</w:t>
      </w:r>
      <w:r w:rsidR="003B4F94">
        <w:rPr>
          <w:rFonts w:eastAsia="Times New Roman" w:cstheme="minorHAnsi"/>
          <w:snapToGrid w:val="0"/>
          <w:sz w:val="24"/>
          <w:szCs w:val="24"/>
        </w:rPr>
        <w:t>4</w:t>
      </w:r>
      <w:r w:rsidRPr="003C4AB6">
        <w:rPr>
          <w:rFonts w:eastAsia="Times New Roman" w:cstheme="minorHAnsi"/>
          <w:snapToGrid w:val="0"/>
          <w:sz w:val="24"/>
          <w:szCs w:val="24"/>
        </w:rPr>
        <w:t xml:space="preserve"> от </w:t>
      </w:r>
      <w:r w:rsidR="007B1E28">
        <w:rPr>
          <w:rFonts w:eastAsia="Times New Roman" w:cstheme="minorHAnsi"/>
          <w:snapToGrid w:val="0"/>
          <w:sz w:val="24"/>
          <w:szCs w:val="24"/>
        </w:rPr>
        <w:t>Условия</w:t>
      </w:r>
      <w:r w:rsidRPr="003C4AB6">
        <w:rPr>
          <w:rFonts w:eastAsia="Times New Roman" w:cstheme="minorHAnsi"/>
          <w:snapToGrid w:val="0"/>
          <w:sz w:val="24"/>
          <w:szCs w:val="24"/>
        </w:rPr>
        <w:t>т</w:t>
      </w:r>
      <w:r w:rsidR="005349F3">
        <w:rPr>
          <w:rFonts w:eastAsia="Times New Roman" w:cstheme="minorHAnsi"/>
          <w:snapToGrid w:val="0"/>
          <w:sz w:val="24"/>
          <w:szCs w:val="24"/>
        </w:rPr>
        <w:t>а</w:t>
      </w:r>
      <w:r w:rsidRPr="003C4AB6">
        <w:rPr>
          <w:rFonts w:eastAsia="Times New Roman" w:cstheme="minorHAnsi"/>
          <w:snapToGrid w:val="0"/>
          <w:sz w:val="24"/>
          <w:szCs w:val="24"/>
        </w:rPr>
        <w:t xml:space="preserve"> за кандидатстване.</w:t>
      </w:r>
    </w:p>
    <w:p w:rsidR="004B1E03" w:rsidRPr="004B1E03" w:rsidRDefault="004B1E03" w:rsidP="004B1E03">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ascii="Calibri" w:eastAsia="Times New Roman" w:hAnsi="Calibri" w:cs="Calibri"/>
          <w:snapToGrid w:val="0"/>
          <w:sz w:val="24"/>
          <w:szCs w:val="24"/>
        </w:rPr>
      </w:pPr>
      <w:r w:rsidRPr="004B1E03">
        <w:rPr>
          <w:rFonts w:ascii="Calibri" w:eastAsia="Times New Roman" w:hAnsi="Calibri" w:cs="Calibri"/>
          <w:snapToGrid w:val="0"/>
          <w:sz w:val="24"/>
          <w:szCs w:val="24"/>
        </w:rPr>
        <w:t xml:space="preserve">Отстраняването на </w:t>
      </w:r>
      <w:proofErr w:type="spellStart"/>
      <w:r w:rsidRPr="004B1E03">
        <w:rPr>
          <w:rFonts w:ascii="Calibri" w:eastAsia="Times New Roman" w:hAnsi="Calibri" w:cs="Calibri"/>
          <w:snapToGrid w:val="0"/>
          <w:sz w:val="24"/>
          <w:szCs w:val="24"/>
        </w:rPr>
        <w:t>нередовностите</w:t>
      </w:r>
      <w:proofErr w:type="spellEnd"/>
      <w:r w:rsidRPr="004B1E03">
        <w:rPr>
          <w:rFonts w:ascii="Calibri" w:eastAsia="Times New Roman" w:hAnsi="Calibri" w:cs="Calibri"/>
          <w:snapToGrid w:val="0"/>
          <w:sz w:val="24"/>
          <w:szCs w:val="24"/>
        </w:rPr>
        <w:t xml:space="preserve"> в никакъв случай и при никакви обстоятелства не трябва да води до подобряване на качес</w:t>
      </w:r>
      <w:r>
        <w:rPr>
          <w:rFonts w:ascii="Calibri" w:eastAsia="Times New Roman" w:hAnsi="Calibri" w:cs="Calibri"/>
          <w:snapToGrid w:val="0"/>
          <w:sz w:val="24"/>
          <w:szCs w:val="24"/>
        </w:rPr>
        <w:t>твото на проектните предложения</w:t>
      </w:r>
      <w:r w:rsidRPr="004B1E03">
        <w:rPr>
          <w:rFonts w:ascii="Calibri" w:eastAsia="Times New Roman" w:hAnsi="Calibri" w:cs="Calibri"/>
          <w:snapToGrid w:val="0"/>
          <w:sz w:val="24"/>
          <w:szCs w:val="24"/>
        </w:rPr>
        <w:t xml:space="preserve">. </w:t>
      </w:r>
    </w:p>
    <w:p w:rsidR="008D6775" w:rsidRPr="003C4AB6" w:rsidRDefault="00FF6666" w:rsidP="006870DA">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snapToGrid w:val="0"/>
          <w:sz w:val="24"/>
          <w:szCs w:val="24"/>
        </w:rPr>
      </w:pPr>
      <w:r w:rsidRPr="003C4AB6">
        <w:rPr>
          <w:rFonts w:eastAsia="Times New Roman" w:cstheme="minorHAnsi"/>
          <w:snapToGrid w:val="0"/>
          <w:sz w:val="24"/>
          <w:szCs w:val="24"/>
        </w:rPr>
        <w:t xml:space="preserve">Всяка информация, предоставена извън официално изисканата от Оценителната комисия, няма да бъде вземана под внимание. </w:t>
      </w:r>
      <w:r w:rsidR="004B1E03" w:rsidRPr="004B1E03">
        <w:rPr>
          <w:rFonts w:ascii="Calibri" w:eastAsia="Times New Roman" w:hAnsi="Calibri" w:cs="Calibri"/>
          <w:snapToGrid w:val="0"/>
          <w:sz w:val="24"/>
          <w:szCs w:val="24"/>
        </w:rPr>
        <w:t xml:space="preserve">По изключение кандидатът може да  предостави информация с уведомителен характер (напр. промяна в адреса за кореспонденция, </w:t>
      </w:r>
      <w:proofErr w:type="spellStart"/>
      <w:r w:rsidR="004B1E03" w:rsidRPr="004B1E03">
        <w:rPr>
          <w:rFonts w:ascii="Calibri" w:eastAsia="Times New Roman" w:hAnsi="Calibri" w:cs="Calibri"/>
          <w:snapToGrid w:val="0"/>
          <w:sz w:val="24"/>
          <w:szCs w:val="24"/>
        </w:rPr>
        <w:t>правноорганизационната</w:t>
      </w:r>
      <w:proofErr w:type="spellEnd"/>
      <w:r w:rsidR="004B1E03" w:rsidRPr="004B1E03">
        <w:rPr>
          <w:rFonts w:ascii="Calibri" w:eastAsia="Times New Roman" w:hAnsi="Calibri" w:cs="Calibri"/>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B36392" w:rsidRPr="003C4AB6" w:rsidRDefault="00FF6666" w:rsidP="00FC3D12">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snapToGrid w:val="0"/>
          <w:sz w:val="24"/>
          <w:szCs w:val="24"/>
        </w:rPr>
      </w:pPr>
      <w:r w:rsidRPr="003C4AB6">
        <w:rPr>
          <w:rFonts w:eastAsia="Times New Roman" w:cstheme="minorHAnsi"/>
          <w:snapToGrid w:val="0"/>
          <w:sz w:val="24"/>
          <w:szCs w:val="24"/>
        </w:rPr>
        <w:t>Техническият процес</w:t>
      </w:r>
      <w:r w:rsidR="00551117" w:rsidRPr="003C4AB6">
        <w:rPr>
          <w:rFonts w:eastAsia="Times New Roman" w:cstheme="minorHAnsi"/>
          <w:snapToGrid w:val="0"/>
          <w:sz w:val="24"/>
          <w:szCs w:val="24"/>
        </w:rPr>
        <w:t>,</w:t>
      </w:r>
      <w:r w:rsidRPr="003C4AB6">
        <w:rPr>
          <w:rFonts w:eastAsia="Times New Roman" w:cstheme="minorHAnsi"/>
          <w:snapToGrid w:val="0"/>
          <w:sz w:val="24"/>
          <w:szCs w:val="24"/>
        </w:rPr>
        <w:t xml:space="preserve"> свързан с представянето на допълнителна информация/документи</w:t>
      </w:r>
      <w:r w:rsidR="00551117" w:rsidRPr="003C4AB6">
        <w:rPr>
          <w:rFonts w:eastAsia="Times New Roman" w:cstheme="minorHAnsi"/>
          <w:snapToGrid w:val="0"/>
          <w:sz w:val="24"/>
          <w:szCs w:val="24"/>
        </w:rPr>
        <w:t>,</w:t>
      </w:r>
      <w:r w:rsidRPr="003C4AB6">
        <w:rPr>
          <w:rFonts w:eastAsia="Times New Roman" w:cstheme="minorHAnsi"/>
          <w:snapToGrid w:val="0"/>
          <w:sz w:val="24"/>
          <w:szCs w:val="24"/>
        </w:rPr>
        <w:t xml:space="preserve"> е описан в </w:t>
      </w:r>
      <w:r w:rsidR="00B36392" w:rsidRPr="003C4AB6">
        <w:rPr>
          <w:rFonts w:eastAsia="Times New Roman" w:cstheme="minorHAnsi"/>
          <w:snapToGrid w:val="0"/>
          <w:sz w:val="24"/>
          <w:szCs w:val="24"/>
        </w:rPr>
        <w:t xml:space="preserve">Ръководството за потребителя за модул “Е-кандидатстване” в ИСУН 2020. </w:t>
      </w:r>
    </w:p>
    <w:p w:rsidR="00686565" w:rsidRPr="003C4AB6" w:rsidRDefault="00310D69" w:rsidP="00B36392">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eastAsia="Times New Roman" w:cstheme="minorHAnsi"/>
          <w:b/>
          <w:snapToGrid w:val="0"/>
          <w:sz w:val="24"/>
          <w:szCs w:val="24"/>
        </w:rPr>
      </w:pPr>
      <w:r w:rsidRPr="003C4AB6">
        <w:rPr>
          <w:rFonts w:eastAsia="Times New Roman" w:cstheme="minorHAnsi"/>
          <w:b/>
          <w:snapToGrid w:val="0"/>
          <w:sz w:val="24"/>
          <w:szCs w:val="24"/>
        </w:rPr>
        <w:t>ВАЖНО: При деклариране на неверни данни от страна на кандидатите ще бъдат уведомявани органите на прокуратурата.</w:t>
      </w:r>
    </w:p>
    <w:p w:rsidR="002D4B6A" w:rsidRPr="003C4AB6" w:rsidRDefault="00CB14EE" w:rsidP="00A03827">
      <w:pPr>
        <w:pStyle w:val="Heading2"/>
        <w:spacing w:before="480" w:after="120"/>
      </w:pPr>
      <w:bookmarkStart w:id="34" w:name="_Toc442298737"/>
      <w:r w:rsidRPr="003C4AB6">
        <w:t>2</w:t>
      </w:r>
      <w:r w:rsidR="008D4F17">
        <w:t>5</w:t>
      </w:r>
      <w:r w:rsidR="002D4B6A" w:rsidRPr="003C4AB6">
        <w:t xml:space="preserve">. </w:t>
      </w:r>
      <w:r w:rsidR="0063166B" w:rsidRPr="003C4AB6">
        <w:t>Краен срок за подаване на проектните предложения:</w:t>
      </w:r>
      <w:bookmarkEnd w:id="34"/>
      <w:r w:rsidR="0063166B" w:rsidRPr="003C4AB6" w:rsidDel="0063166B">
        <w:t xml:space="preserve"> </w:t>
      </w:r>
    </w:p>
    <w:p w:rsidR="00535263" w:rsidRPr="003C4AB6" w:rsidRDefault="00535263" w:rsidP="00293BD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3C4AB6">
        <w:rPr>
          <w:sz w:val="24"/>
          <w:szCs w:val="24"/>
        </w:rPr>
        <w:t xml:space="preserve">Ще се прилага процедура на подбор на проекти </w:t>
      </w:r>
      <w:r w:rsidRPr="003C4AB6">
        <w:rPr>
          <w:b/>
          <w:sz w:val="24"/>
          <w:szCs w:val="24"/>
        </w:rPr>
        <w:t>с един  краен срок за кандидатстване</w:t>
      </w:r>
      <w:r w:rsidRPr="003C4AB6">
        <w:rPr>
          <w:sz w:val="24"/>
          <w:szCs w:val="24"/>
        </w:rPr>
        <w:t>.</w:t>
      </w:r>
    </w:p>
    <w:p w:rsidR="00E32474" w:rsidRPr="003C4AB6" w:rsidRDefault="004D63C1" w:rsidP="00735A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 xml:space="preserve">Крайният срок за подаване на проектни предложения </w:t>
      </w:r>
      <w:r w:rsidRPr="007B59B5">
        <w:rPr>
          <w:b/>
          <w:sz w:val="24"/>
          <w:szCs w:val="24"/>
        </w:rPr>
        <w:t xml:space="preserve">е </w:t>
      </w:r>
      <w:r w:rsidR="003C0539" w:rsidRPr="007B59B5">
        <w:rPr>
          <w:b/>
          <w:sz w:val="24"/>
          <w:szCs w:val="24"/>
        </w:rPr>
        <w:t>19:00 ча</w:t>
      </w:r>
      <w:r w:rsidR="00B2071F" w:rsidRPr="007B59B5">
        <w:rPr>
          <w:b/>
          <w:sz w:val="24"/>
          <w:szCs w:val="24"/>
        </w:rPr>
        <w:t>с</w:t>
      </w:r>
      <w:r w:rsidR="003C0539" w:rsidRPr="007B59B5">
        <w:rPr>
          <w:b/>
          <w:sz w:val="24"/>
          <w:szCs w:val="24"/>
        </w:rPr>
        <w:t xml:space="preserve">а на </w:t>
      </w:r>
      <w:r w:rsidR="00B5304F" w:rsidRPr="007B59B5">
        <w:rPr>
          <w:b/>
          <w:sz w:val="24"/>
          <w:szCs w:val="24"/>
        </w:rPr>
        <w:t>0</w:t>
      </w:r>
      <w:r w:rsidR="007A556B">
        <w:rPr>
          <w:b/>
          <w:sz w:val="24"/>
          <w:szCs w:val="24"/>
        </w:rPr>
        <w:t>5</w:t>
      </w:r>
      <w:r w:rsidRPr="007B59B5">
        <w:rPr>
          <w:b/>
          <w:sz w:val="24"/>
          <w:szCs w:val="24"/>
        </w:rPr>
        <w:t>.</w:t>
      </w:r>
      <w:proofErr w:type="spellStart"/>
      <w:r w:rsidR="00923BEB" w:rsidRPr="007B59B5">
        <w:rPr>
          <w:b/>
          <w:sz w:val="24"/>
          <w:szCs w:val="24"/>
        </w:rPr>
        <w:t>0</w:t>
      </w:r>
      <w:r w:rsidR="00B5304F" w:rsidRPr="007B59B5">
        <w:rPr>
          <w:b/>
          <w:sz w:val="24"/>
          <w:szCs w:val="24"/>
        </w:rPr>
        <w:t>5</w:t>
      </w:r>
      <w:proofErr w:type="spellEnd"/>
      <w:r w:rsidRPr="007B59B5">
        <w:rPr>
          <w:b/>
          <w:sz w:val="24"/>
          <w:szCs w:val="24"/>
        </w:rPr>
        <w:t>.201</w:t>
      </w:r>
      <w:r w:rsidR="007F6594" w:rsidRPr="007B59B5">
        <w:rPr>
          <w:b/>
          <w:sz w:val="24"/>
          <w:szCs w:val="24"/>
        </w:rPr>
        <w:t>6</w:t>
      </w:r>
      <w:r w:rsidR="007B1BB2" w:rsidRPr="007B59B5">
        <w:rPr>
          <w:b/>
          <w:sz w:val="24"/>
          <w:szCs w:val="24"/>
        </w:rPr>
        <w:t xml:space="preserve"> г. </w:t>
      </w:r>
    </w:p>
    <w:p w:rsidR="00A11A60" w:rsidRPr="003C4AB6" w:rsidRDefault="00A11A60" w:rsidP="001E3081">
      <w:pPr>
        <w:pStyle w:val="ListParagraph"/>
        <w:pBdr>
          <w:top w:val="single" w:sz="4" w:space="1" w:color="auto"/>
          <w:left w:val="single" w:sz="4" w:space="4" w:color="auto"/>
          <w:bottom w:val="single" w:sz="4" w:space="1" w:color="auto"/>
          <w:right w:val="single" w:sz="4" w:space="4" w:color="auto"/>
        </w:pBdr>
        <w:spacing w:after="120"/>
        <w:ind w:left="0"/>
        <w:jc w:val="both"/>
        <w:rPr>
          <w:b/>
          <w:sz w:val="24"/>
          <w:szCs w:val="24"/>
          <w:u w:val="single"/>
        </w:rPr>
      </w:pPr>
    </w:p>
    <w:p w:rsidR="001E3081" w:rsidRPr="003C4AB6" w:rsidRDefault="001E3081" w:rsidP="001E3081">
      <w:pPr>
        <w:pStyle w:val="ListParagraph"/>
        <w:pBdr>
          <w:top w:val="single" w:sz="4" w:space="1" w:color="auto"/>
          <w:left w:val="single" w:sz="4" w:space="4" w:color="auto"/>
          <w:bottom w:val="single" w:sz="4" w:space="1" w:color="auto"/>
          <w:right w:val="single" w:sz="4" w:space="4" w:color="auto"/>
        </w:pBdr>
        <w:spacing w:after="120"/>
        <w:ind w:left="0"/>
        <w:jc w:val="both"/>
        <w:rPr>
          <w:b/>
          <w:sz w:val="24"/>
          <w:szCs w:val="24"/>
          <w:u w:val="single"/>
        </w:rPr>
      </w:pPr>
      <w:r w:rsidRPr="003C4AB6">
        <w:rPr>
          <w:b/>
          <w:sz w:val="24"/>
          <w:szCs w:val="24"/>
          <w:u w:val="single"/>
        </w:rPr>
        <w:t xml:space="preserve">ВАЖНО: </w:t>
      </w:r>
      <w:r w:rsidRPr="003C4AB6">
        <w:rPr>
          <w:sz w:val="24"/>
          <w:szCs w:val="24"/>
        </w:rPr>
        <w:t>В рамките на настоящата процедура кандидатите могат да подадат само едно проектно предложение</w:t>
      </w:r>
      <w:r w:rsidRPr="003C4AB6">
        <w:rPr>
          <w:rStyle w:val="FootnoteReference"/>
          <w:sz w:val="24"/>
          <w:szCs w:val="24"/>
        </w:rPr>
        <w:footnoteReference w:id="25"/>
      </w:r>
      <w:r w:rsidRPr="003C4AB6">
        <w:rPr>
          <w:sz w:val="24"/>
          <w:szCs w:val="24"/>
        </w:rPr>
        <w:t xml:space="preserve"> при съобразяване на изискванията по т. 9 от настоящите </w:t>
      </w:r>
      <w:r w:rsidR="007B1E28">
        <w:rPr>
          <w:sz w:val="24"/>
          <w:szCs w:val="24"/>
        </w:rPr>
        <w:t>Условия</w:t>
      </w:r>
      <w:r w:rsidRPr="003C4AB6">
        <w:rPr>
          <w:sz w:val="24"/>
          <w:szCs w:val="24"/>
        </w:rPr>
        <w:t xml:space="preserve"> за кандидатстване. </w:t>
      </w:r>
      <w:r w:rsidR="0010026E" w:rsidRPr="003C4AB6">
        <w:rPr>
          <w:sz w:val="24"/>
          <w:szCs w:val="24"/>
        </w:rPr>
        <w:t xml:space="preserve">В рамките на настоящата процедура проектно предложение може да подаде само едно предприятие от няколко свързани предприятия, осъществяващи сходна дейност. </w:t>
      </w:r>
      <w:r w:rsidR="00EF6F6E" w:rsidRPr="003C4AB6">
        <w:rPr>
          <w:sz w:val="24"/>
          <w:szCs w:val="24"/>
        </w:rPr>
        <w:t xml:space="preserve">Под свързани предприятия се разбират предприятията по чл. 4, ал. 4-8 от Закона за малките и средните предприятия. </w:t>
      </w:r>
      <w:r w:rsidRPr="003C4AB6">
        <w:rPr>
          <w:sz w:val="24"/>
          <w:szCs w:val="24"/>
        </w:rPr>
        <w:t xml:space="preserve">Под сходна дейност следва да се разбира дейност, </w:t>
      </w:r>
      <w:r w:rsidRPr="003C4AB6">
        <w:rPr>
          <w:sz w:val="24"/>
          <w:szCs w:val="24"/>
        </w:rPr>
        <w:lastRenderedPageBreak/>
        <w:t>попадаща в същия клас (</w:t>
      </w:r>
      <w:proofErr w:type="spellStart"/>
      <w:r w:rsidRPr="003C4AB6">
        <w:rPr>
          <w:sz w:val="24"/>
          <w:szCs w:val="24"/>
        </w:rPr>
        <w:t>четирицифрен</w:t>
      </w:r>
      <w:proofErr w:type="spellEnd"/>
      <w:r w:rsidRPr="003C4AB6">
        <w:rPr>
          <w:sz w:val="24"/>
          <w:szCs w:val="24"/>
        </w:rPr>
        <w:t xml:space="preserve"> код) съгласно Класификация на икономическите дейности - КИД-2008 (Приложение </w:t>
      </w:r>
      <w:r w:rsidR="00AF189C">
        <w:rPr>
          <w:sz w:val="24"/>
          <w:szCs w:val="24"/>
        </w:rPr>
        <w:t>Р</w:t>
      </w:r>
      <w:r w:rsidRPr="003C4AB6">
        <w:rPr>
          <w:sz w:val="24"/>
          <w:szCs w:val="24"/>
        </w:rPr>
        <w:t>).</w:t>
      </w:r>
    </w:p>
    <w:p w:rsidR="002A2CED" w:rsidRPr="003C4AB6" w:rsidRDefault="002A2CED"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10"/>
          <w:szCs w:val="10"/>
          <w:u w:val="single"/>
          <w:lang w:val="en-US"/>
        </w:rPr>
      </w:pPr>
    </w:p>
    <w:p w:rsidR="001439F1" w:rsidRPr="003C4AB6" w:rsidRDefault="001439F1"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Кандидатите могат да задават </w:t>
      </w:r>
      <w:r w:rsidR="000D1C30" w:rsidRPr="003C4AB6">
        <w:rPr>
          <w:sz w:val="24"/>
          <w:szCs w:val="24"/>
        </w:rPr>
        <w:t xml:space="preserve">допълнителни </w:t>
      </w:r>
      <w:r w:rsidRPr="003C4AB6">
        <w:rPr>
          <w:sz w:val="24"/>
          <w:szCs w:val="24"/>
        </w:rPr>
        <w:t xml:space="preserve">въпроси и </w:t>
      </w:r>
      <w:r w:rsidR="00735A00" w:rsidRPr="003C4AB6">
        <w:rPr>
          <w:sz w:val="24"/>
          <w:szCs w:val="24"/>
        </w:rPr>
        <w:t>да</w:t>
      </w:r>
      <w:r w:rsidRPr="003C4AB6">
        <w:rPr>
          <w:sz w:val="24"/>
          <w:szCs w:val="24"/>
        </w:rPr>
        <w:t xml:space="preserve"> искат разяснения във връзка с </w:t>
      </w:r>
      <w:r w:rsidR="007B1E28">
        <w:rPr>
          <w:sz w:val="24"/>
          <w:szCs w:val="24"/>
        </w:rPr>
        <w:t>Условия</w:t>
      </w:r>
      <w:r w:rsidR="00735A00" w:rsidRPr="003C4AB6">
        <w:rPr>
          <w:sz w:val="24"/>
          <w:szCs w:val="24"/>
        </w:rPr>
        <w:t>т</w:t>
      </w:r>
      <w:r w:rsidR="005349F3">
        <w:rPr>
          <w:sz w:val="24"/>
          <w:szCs w:val="24"/>
        </w:rPr>
        <w:t>а</w:t>
      </w:r>
      <w:r w:rsidR="00735A00" w:rsidRPr="003C4AB6">
        <w:rPr>
          <w:sz w:val="24"/>
          <w:szCs w:val="24"/>
        </w:rPr>
        <w:t xml:space="preserve"> за кандидатстване до </w:t>
      </w:r>
      <w:r w:rsidR="00B27D69">
        <w:rPr>
          <w:sz w:val="24"/>
          <w:szCs w:val="24"/>
        </w:rPr>
        <w:t>3 седмици</w:t>
      </w:r>
      <w:r w:rsidR="00735A00" w:rsidRPr="003C4AB6">
        <w:rPr>
          <w:sz w:val="24"/>
          <w:szCs w:val="24"/>
        </w:rPr>
        <w:t xml:space="preserve"> преди крайния срок за подаване на проектни предложения. </w:t>
      </w:r>
      <w:r w:rsidR="000D1C30" w:rsidRPr="003C4AB6">
        <w:rPr>
          <w:sz w:val="24"/>
          <w:szCs w:val="24"/>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5E05AF" w:rsidRPr="003C4AB6" w:rsidRDefault="005E05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Адрес на електронна поща: </w:t>
      </w:r>
      <w:r w:rsidR="009A712C" w:rsidRPr="007B59B5">
        <w:rPr>
          <w:sz w:val="24"/>
          <w:szCs w:val="24"/>
          <w:u w:val="single"/>
        </w:rPr>
        <w:t>startups@mi.government.bg</w:t>
      </w:r>
      <w:r w:rsidR="00B37473" w:rsidRPr="007B59B5">
        <w:rPr>
          <w:sz w:val="24"/>
          <w:szCs w:val="24"/>
          <w:lang w:val="en-US"/>
        </w:rPr>
        <w:t>.</w:t>
      </w:r>
    </w:p>
    <w:p w:rsidR="00C968BC" w:rsidRPr="003C4AB6" w:rsidRDefault="00C968BC"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Отговорите на въпросите на кандидатите </w:t>
      </w:r>
      <w:r w:rsidR="00AB0504" w:rsidRPr="003C4AB6">
        <w:rPr>
          <w:sz w:val="24"/>
          <w:szCs w:val="24"/>
        </w:rPr>
        <w:t>се публикуват</w:t>
      </w:r>
      <w:r w:rsidRPr="003C4AB6">
        <w:rPr>
          <w:sz w:val="24"/>
          <w:szCs w:val="24"/>
        </w:rPr>
        <w:t xml:space="preserve"> на интернет страницата на Управляващия орган - </w:t>
      </w:r>
      <w:proofErr w:type="spellStart"/>
      <w:r w:rsidRPr="003C4AB6">
        <w:rPr>
          <w:sz w:val="24"/>
          <w:szCs w:val="24"/>
        </w:rPr>
        <w:t>www</w:t>
      </w:r>
      <w:proofErr w:type="spellEnd"/>
      <w:r w:rsidRPr="003C4AB6">
        <w:rPr>
          <w:sz w:val="24"/>
          <w:szCs w:val="24"/>
        </w:rPr>
        <w:t>.</w:t>
      </w:r>
      <w:proofErr w:type="spellStart"/>
      <w:r w:rsidR="00C7222A" w:rsidRPr="003C4AB6">
        <w:rPr>
          <w:sz w:val="24"/>
          <w:szCs w:val="24"/>
        </w:rPr>
        <w:t>opcompetitiveness</w:t>
      </w:r>
      <w:proofErr w:type="spellEnd"/>
      <w:r w:rsidR="00C7222A" w:rsidRPr="003C4AB6">
        <w:rPr>
          <w:sz w:val="24"/>
          <w:szCs w:val="24"/>
        </w:rPr>
        <w:t>.</w:t>
      </w:r>
      <w:proofErr w:type="spellStart"/>
      <w:r w:rsidR="00C7222A" w:rsidRPr="003C4AB6">
        <w:rPr>
          <w:sz w:val="24"/>
          <w:szCs w:val="24"/>
        </w:rPr>
        <w:t>bg</w:t>
      </w:r>
      <w:proofErr w:type="spellEnd"/>
      <w:r w:rsidR="005F087D" w:rsidRPr="003C4AB6">
        <w:rPr>
          <w:sz w:val="24"/>
          <w:szCs w:val="24"/>
        </w:rPr>
        <w:t>,</w:t>
      </w:r>
      <w:r w:rsidR="00DB09F6" w:rsidRPr="003C4AB6">
        <w:rPr>
          <w:sz w:val="24"/>
          <w:szCs w:val="24"/>
        </w:rPr>
        <w:t xml:space="preserve"> </w:t>
      </w:r>
      <w:r w:rsidR="00AB0504" w:rsidRPr="003C4AB6">
        <w:rPr>
          <w:sz w:val="24"/>
          <w:szCs w:val="24"/>
        </w:rPr>
        <w:t>на</w:t>
      </w:r>
      <w:r w:rsidR="00AB0504" w:rsidRPr="003C4AB6">
        <w:t xml:space="preserve"> </w:t>
      </w:r>
      <w:r w:rsidR="00AB0504" w:rsidRPr="003C4AB6">
        <w:rPr>
          <w:sz w:val="24"/>
          <w:szCs w:val="24"/>
        </w:rPr>
        <w:t xml:space="preserve">Единния информационен портал за обща информация за управлението на Европейските структурни и инвестиционни фондове – </w:t>
      </w:r>
      <w:proofErr w:type="spellStart"/>
      <w:r w:rsidR="005F087D" w:rsidRPr="003C4AB6">
        <w:rPr>
          <w:sz w:val="24"/>
          <w:szCs w:val="24"/>
        </w:rPr>
        <w:t>www</w:t>
      </w:r>
      <w:proofErr w:type="spellEnd"/>
      <w:r w:rsidR="005F087D" w:rsidRPr="003C4AB6">
        <w:rPr>
          <w:sz w:val="24"/>
          <w:szCs w:val="24"/>
        </w:rPr>
        <w:t>.</w:t>
      </w:r>
      <w:proofErr w:type="spellStart"/>
      <w:r w:rsidR="005F087D" w:rsidRPr="003C4AB6">
        <w:rPr>
          <w:sz w:val="24"/>
          <w:szCs w:val="24"/>
        </w:rPr>
        <w:t>eufunds</w:t>
      </w:r>
      <w:proofErr w:type="spellEnd"/>
      <w:r w:rsidR="005F087D" w:rsidRPr="003C4AB6">
        <w:rPr>
          <w:sz w:val="24"/>
          <w:szCs w:val="24"/>
        </w:rPr>
        <w:t>.</w:t>
      </w:r>
      <w:proofErr w:type="spellStart"/>
      <w:r w:rsidR="005F087D" w:rsidRPr="003C4AB6">
        <w:rPr>
          <w:sz w:val="24"/>
          <w:szCs w:val="24"/>
        </w:rPr>
        <w:t>bg</w:t>
      </w:r>
      <w:proofErr w:type="spellEnd"/>
      <w:r w:rsidR="005F087D" w:rsidRPr="00EE316C">
        <w:rPr>
          <w:sz w:val="24"/>
          <w:szCs w:val="24"/>
        </w:rPr>
        <w:t>, както</w:t>
      </w:r>
      <w:r w:rsidR="00C660F2" w:rsidRPr="00EE316C">
        <w:rPr>
          <w:sz w:val="24"/>
          <w:szCs w:val="24"/>
        </w:rPr>
        <w:t xml:space="preserve"> и в ИСУН 2020</w:t>
      </w:r>
      <w:r w:rsidR="00AB0504" w:rsidRPr="00EE316C">
        <w:rPr>
          <w:sz w:val="24"/>
          <w:szCs w:val="24"/>
        </w:rPr>
        <w:t xml:space="preserve"> </w:t>
      </w:r>
      <w:r w:rsidRPr="003C4AB6">
        <w:rPr>
          <w:sz w:val="24"/>
          <w:szCs w:val="24"/>
        </w:rPr>
        <w:t xml:space="preserve">не по-късно от </w:t>
      </w:r>
      <w:r w:rsidR="00B27D69">
        <w:rPr>
          <w:sz w:val="24"/>
          <w:szCs w:val="24"/>
        </w:rPr>
        <w:t>2 седмици</w:t>
      </w:r>
      <w:r w:rsidRPr="003C4AB6">
        <w:rPr>
          <w:sz w:val="24"/>
          <w:szCs w:val="24"/>
        </w:rPr>
        <w:t xml:space="preserve"> преди определения краен срок за </w:t>
      </w:r>
      <w:r w:rsidR="00C7222A" w:rsidRPr="003C4AB6">
        <w:rPr>
          <w:sz w:val="24"/>
          <w:szCs w:val="24"/>
        </w:rPr>
        <w:t>подаване</w:t>
      </w:r>
      <w:r w:rsidRPr="003C4AB6">
        <w:rPr>
          <w:sz w:val="24"/>
          <w:szCs w:val="24"/>
        </w:rPr>
        <w:t xml:space="preserve"> на проектни предложения по процедурата.  </w:t>
      </w:r>
    </w:p>
    <w:p w:rsidR="00A04326" w:rsidRPr="003C4AB6" w:rsidRDefault="00113282" w:rsidP="00A0432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Публикуваните отговори на въпроси задължително се вземат под внимание от страна на</w:t>
      </w:r>
      <w:r w:rsidR="00505823" w:rsidRPr="003C4AB6">
        <w:rPr>
          <w:sz w:val="24"/>
          <w:szCs w:val="24"/>
        </w:rPr>
        <w:t xml:space="preserve"> Управляващия орган,</w:t>
      </w:r>
      <w:r w:rsidRPr="003C4AB6">
        <w:rPr>
          <w:sz w:val="24"/>
          <w:szCs w:val="24"/>
        </w:rPr>
        <w:t xml:space="preserve"> Оценителната комисия по процедурата при оценката на проектните предложения и от </w:t>
      </w:r>
      <w:r w:rsidR="00505823" w:rsidRPr="003C4AB6">
        <w:rPr>
          <w:sz w:val="24"/>
          <w:szCs w:val="24"/>
        </w:rPr>
        <w:t>кандидатите по процедурата</w:t>
      </w:r>
      <w:r w:rsidRPr="003C4AB6">
        <w:rPr>
          <w:sz w:val="24"/>
          <w:szCs w:val="24"/>
        </w:rPr>
        <w:t>.</w:t>
      </w:r>
      <w:r w:rsidR="00885478" w:rsidRPr="003C4AB6">
        <w:rPr>
          <w:sz w:val="24"/>
          <w:szCs w:val="24"/>
        </w:rPr>
        <w:t xml:space="preserve"> </w:t>
      </w:r>
    </w:p>
    <w:p w:rsidR="00113282" w:rsidRPr="003C4AB6" w:rsidRDefault="00113282" w:rsidP="00A0432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color w:val="FF0000"/>
          <w:sz w:val="24"/>
          <w:szCs w:val="24"/>
        </w:rPr>
      </w:pPr>
      <w:r w:rsidRPr="003C4AB6">
        <w:rPr>
          <w:sz w:val="24"/>
          <w:szCs w:val="24"/>
        </w:rPr>
        <w:t xml:space="preserve">Не могат да се дават </w:t>
      </w:r>
      <w:r w:rsidR="007D70EE" w:rsidRPr="003C4AB6">
        <w:rPr>
          <w:sz w:val="24"/>
          <w:szCs w:val="24"/>
        </w:rPr>
        <w:t>разяснения</w:t>
      </w:r>
      <w:r w:rsidRPr="003C4AB6">
        <w:rPr>
          <w:sz w:val="24"/>
          <w:szCs w:val="24"/>
        </w:rPr>
        <w:t xml:space="preserve">, които съдържат становище относно </w:t>
      </w:r>
      <w:r w:rsidR="007D70EE" w:rsidRPr="003C4AB6">
        <w:rPr>
          <w:sz w:val="24"/>
          <w:szCs w:val="24"/>
        </w:rPr>
        <w:t>качеството на конкретно проектно предложение</w:t>
      </w:r>
      <w:r w:rsidRPr="003C4AB6">
        <w:rPr>
          <w:sz w:val="24"/>
          <w:szCs w:val="24"/>
        </w:rPr>
        <w:t>.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8B486B" w:rsidRPr="003C4AB6" w:rsidRDefault="002C08E5" w:rsidP="008F573D">
      <w:pPr>
        <w:pStyle w:val="Heading2"/>
        <w:spacing w:before="480" w:after="120"/>
      </w:pPr>
      <w:bookmarkStart w:id="35" w:name="_Toc442298738"/>
      <w:r w:rsidRPr="003C4AB6">
        <w:t>2</w:t>
      </w:r>
      <w:r w:rsidR="00DA3FFC">
        <w:t>6</w:t>
      </w:r>
      <w:r w:rsidR="002D4B6A" w:rsidRPr="003C4AB6">
        <w:t xml:space="preserve">. </w:t>
      </w:r>
      <w:r w:rsidR="0063166B" w:rsidRPr="003C4AB6">
        <w:t>Адрес за подаване на проектните предложения</w:t>
      </w:r>
      <w:r w:rsidR="00DA3FFC">
        <w:t>/концепциите за проектни предложения</w:t>
      </w:r>
      <w:bookmarkEnd w:id="35"/>
    </w:p>
    <w:p w:rsidR="003429B7" w:rsidRPr="003C4AB6" w:rsidRDefault="00763228" w:rsidP="005F0BC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3C4AB6">
        <w:rPr>
          <w:sz w:val="24"/>
          <w:szCs w:val="24"/>
        </w:rPr>
        <w:t>Проектните предложения по настоящата процедура се подават</w:t>
      </w:r>
      <w:r w:rsidR="0072354F" w:rsidRPr="003C4AB6">
        <w:rPr>
          <w:sz w:val="24"/>
          <w:szCs w:val="24"/>
        </w:rPr>
        <w:t xml:space="preserve"> по изцяло електронен път чрез</w:t>
      </w:r>
      <w:r w:rsidR="006E412D" w:rsidRPr="003C4AB6">
        <w:rPr>
          <w:sz w:val="24"/>
          <w:szCs w:val="24"/>
        </w:rPr>
        <w:t xml:space="preserve"> ИСУН 2020</w:t>
      </w:r>
      <w:r w:rsidR="0072354F" w:rsidRPr="003C4AB6">
        <w:rPr>
          <w:sz w:val="24"/>
          <w:szCs w:val="24"/>
        </w:rPr>
        <w:t xml:space="preserve"> </w:t>
      </w:r>
      <w:r w:rsidR="006E412D" w:rsidRPr="003C4AB6">
        <w:t xml:space="preserve"> </w:t>
      </w:r>
      <w:r w:rsidR="006E412D" w:rsidRPr="003C4AB6">
        <w:rPr>
          <w:sz w:val="24"/>
          <w:szCs w:val="24"/>
        </w:rPr>
        <w:t>на следния интернет адрес: https://eumis2020.government.bg.</w:t>
      </w:r>
      <w:r w:rsidR="003429B7" w:rsidRPr="003C4AB6">
        <w:rPr>
          <w:b/>
          <w:sz w:val="24"/>
          <w:szCs w:val="24"/>
        </w:rPr>
        <w:t xml:space="preserve">   </w:t>
      </w:r>
    </w:p>
    <w:p w:rsidR="003429B7" w:rsidRPr="003C4AB6" w:rsidRDefault="00CB14EE" w:rsidP="003659D3">
      <w:pPr>
        <w:pStyle w:val="Heading2"/>
      </w:pPr>
      <w:bookmarkStart w:id="36" w:name="_Toc442298739"/>
      <w:r w:rsidRPr="003C4AB6">
        <w:t>2</w:t>
      </w:r>
      <w:r w:rsidR="00DA3FFC">
        <w:t>7</w:t>
      </w:r>
      <w:r w:rsidR="003429B7" w:rsidRPr="003C4AB6">
        <w:t>. Допълнителна информация:</w:t>
      </w:r>
      <w:bookmarkEnd w:id="36"/>
    </w:p>
    <w:p w:rsidR="00BA13AC" w:rsidRPr="003C4AB6" w:rsidRDefault="00BA13AC" w:rsidP="003659D3">
      <w:pPr>
        <w:pStyle w:val="Heading3"/>
        <w:rPr>
          <w:sz w:val="24"/>
          <w:szCs w:val="24"/>
        </w:rPr>
      </w:pPr>
      <w:bookmarkStart w:id="37" w:name="_Toc442298740"/>
      <w:r w:rsidRPr="003C4AB6">
        <w:rPr>
          <w:sz w:val="24"/>
          <w:szCs w:val="24"/>
        </w:rPr>
        <w:t>2</w:t>
      </w:r>
      <w:r w:rsidR="00DA3FFC">
        <w:rPr>
          <w:sz w:val="24"/>
          <w:szCs w:val="24"/>
        </w:rPr>
        <w:t>7</w:t>
      </w:r>
      <w:r w:rsidRPr="003C4AB6">
        <w:rPr>
          <w:sz w:val="24"/>
          <w:szCs w:val="24"/>
        </w:rPr>
        <w:t xml:space="preserve">.1. Процедура за уведомяване на неуспелите и одобрените кандидати и сключване на </w:t>
      </w:r>
      <w:r w:rsidR="00DC5166">
        <w:rPr>
          <w:sz w:val="24"/>
          <w:szCs w:val="24"/>
        </w:rPr>
        <w:t xml:space="preserve">административни </w:t>
      </w:r>
      <w:r w:rsidRPr="003C4AB6">
        <w:rPr>
          <w:sz w:val="24"/>
          <w:szCs w:val="24"/>
        </w:rPr>
        <w:t>договори за безвъзмездна финансова помощ</w:t>
      </w:r>
      <w:bookmarkEnd w:id="37"/>
    </w:p>
    <w:p w:rsidR="00BA13AC" w:rsidRPr="003C4AB6" w:rsidRDefault="00BA13AC"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Управляващият орган </w:t>
      </w:r>
      <w:r w:rsidR="000A639B" w:rsidRPr="000A639B">
        <w:rPr>
          <w:rFonts w:ascii="Calibri" w:eastAsia="Calibri" w:hAnsi="Calibri" w:cs="Times New Roman"/>
          <w:sz w:val="24"/>
          <w:szCs w:val="24"/>
        </w:rPr>
        <w:t xml:space="preserve">издава мотивирано решение, с което отказва предоставянето на безвъзмездна помощ по отношение на всеки от кандидатите, включени в списъка на </w:t>
      </w:r>
      <w:r w:rsidR="000A639B" w:rsidRPr="00C05727">
        <w:rPr>
          <w:rFonts w:ascii="Calibri" w:eastAsia="Calibri" w:hAnsi="Calibri" w:cs="Times New Roman"/>
          <w:sz w:val="24"/>
          <w:szCs w:val="24"/>
        </w:rPr>
        <w:t xml:space="preserve">предложените за отхвърляне проектни предложения и основанията за отхвърлянето им </w:t>
      </w:r>
      <w:r w:rsidRPr="00C05727">
        <w:rPr>
          <w:sz w:val="24"/>
          <w:szCs w:val="24"/>
        </w:rPr>
        <w:t xml:space="preserve">в срок до </w:t>
      </w:r>
      <w:r w:rsidR="000A639B" w:rsidRPr="00C05727">
        <w:rPr>
          <w:sz w:val="24"/>
          <w:szCs w:val="24"/>
        </w:rPr>
        <w:t>10</w:t>
      </w:r>
      <w:r w:rsidRPr="00C05727">
        <w:rPr>
          <w:sz w:val="24"/>
          <w:szCs w:val="24"/>
        </w:rPr>
        <w:t xml:space="preserve"> дни от одобрение</w:t>
      </w:r>
      <w:r w:rsidRPr="003C4AB6">
        <w:rPr>
          <w:sz w:val="24"/>
          <w:szCs w:val="24"/>
        </w:rPr>
        <w:t xml:space="preserve"> на доклада на оценителната комисия. В срок до 10 работни дни от получаване на решението кандидатът може да поиска </w:t>
      </w:r>
      <w:r w:rsidR="00DF31F6" w:rsidRPr="003C4AB6">
        <w:rPr>
          <w:sz w:val="24"/>
          <w:szCs w:val="24"/>
        </w:rPr>
        <w:t>писмено</w:t>
      </w:r>
      <w:r w:rsidR="00017D3F" w:rsidRPr="003C4AB6">
        <w:rPr>
          <w:sz w:val="24"/>
          <w:szCs w:val="24"/>
        </w:rPr>
        <w:t xml:space="preserve"> </w:t>
      </w:r>
      <w:r w:rsidRPr="003C4AB6">
        <w:rPr>
          <w:sz w:val="24"/>
          <w:szCs w:val="24"/>
        </w:rPr>
        <w:t xml:space="preserve">допълнителни разяснения относно основанията за класирането/отхвърлянето му. </w:t>
      </w:r>
    </w:p>
    <w:p w:rsidR="00856916" w:rsidRPr="003C4AB6" w:rsidRDefault="006F513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sidRPr="007504BF">
        <w:rPr>
          <w:rFonts w:ascii="Calibri" w:eastAsia="Calibri" w:hAnsi="Calibri" w:cs="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w:t>
      </w:r>
      <w:r w:rsidR="007504BF" w:rsidRPr="007504BF">
        <w:rPr>
          <w:rFonts w:ascii="Calibri" w:eastAsia="Calibri" w:hAnsi="Calibri" w:cs="Times New Roman"/>
          <w:sz w:val="24"/>
          <w:szCs w:val="24"/>
        </w:rPr>
        <w:t xml:space="preserve"> </w:t>
      </w:r>
      <w:r w:rsidRPr="007504BF">
        <w:rPr>
          <w:rFonts w:ascii="Calibri" w:eastAsia="Calibri" w:hAnsi="Calibri" w:cs="Times New Roman"/>
          <w:sz w:val="24"/>
          <w:szCs w:val="24"/>
        </w:rPr>
        <w:t>документи.</w:t>
      </w:r>
      <w:r w:rsidRPr="007504BF" w:rsidDel="00AE63C1">
        <w:rPr>
          <w:rFonts w:ascii="Calibri" w:eastAsia="Calibri" w:hAnsi="Calibri" w:cs="Times New Roman"/>
          <w:sz w:val="24"/>
          <w:szCs w:val="24"/>
        </w:rPr>
        <w:t xml:space="preserve"> </w:t>
      </w:r>
    </w:p>
    <w:p w:rsidR="006F5132" w:rsidRDefault="006F513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p>
    <w:p w:rsidR="00BA13AC" w:rsidRPr="003C4AB6" w:rsidRDefault="00101D6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b/>
          <w:sz w:val="24"/>
          <w:szCs w:val="24"/>
        </w:rPr>
        <w:lastRenderedPageBreak/>
        <w:t xml:space="preserve">А) </w:t>
      </w:r>
      <w:r w:rsidR="006F5132" w:rsidRPr="006F5132">
        <w:rPr>
          <w:rFonts w:ascii="Calibri" w:eastAsia="Calibri" w:hAnsi="Calibri" w:cs="Times New Roman"/>
          <w:sz w:val="24"/>
          <w:szCs w:val="24"/>
        </w:rPr>
        <w:t xml:space="preserve">С поканата ще бъдат изискани </w:t>
      </w:r>
      <w:r w:rsidR="00BA13AC" w:rsidRPr="003C4AB6">
        <w:rPr>
          <w:sz w:val="24"/>
          <w:szCs w:val="24"/>
        </w:rPr>
        <w:t>следните документи:</w:t>
      </w:r>
    </w:p>
    <w:p w:rsidR="00BA13AC" w:rsidRPr="00C05727"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3C4AB6">
        <w:rPr>
          <w:b/>
          <w:sz w:val="24"/>
          <w:szCs w:val="24"/>
        </w:rPr>
        <w:t>а/</w:t>
      </w:r>
      <w:r w:rsidRPr="003C4AB6">
        <w:rPr>
          <w:sz w:val="24"/>
          <w:szCs w:val="24"/>
        </w:rPr>
        <w:t xml:space="preserve"> Удостоверение от Националната агенция за приходите за липса на задължения на кандидата (издадено не по-рано от 6 месеца преди датата на представянето му) </w:t>
      </w:r>
      <w:r w:rsidR="00644BB7" w:rsidRPr="003C4AB6">
        <w:rPr>
          <w:sz w:val="24"/>
          <w:szCs w:val="24"/>
        </w:rPr>
        <w:t>–</w:t>
      </w:r>
      <w:r w:rsidRPr="003C4AB6">
        <w:rPr>
          <w:sz w:val="24"/>
          <w:szCs w:val="24"/>
        </w:rPr>
        <w:t xml:space="preserve"> </w:t>
      </w:r>
      <w:r w:rsidR="00325B3A" w:rsidRPr="003C4AB6">
        <w:rPr>
          <w:sz w:val="24"/>
          <w:szCs w:val="24"/>
        </w:rPr>
        <w:t xml:space="preserve"> </w:t>
      </w:r>
      <w:r w:rsidR="00183267" w:rsidRPr="00C05727">
        <w:rPr>
          <w:rFonts w:ascii="Calibri" w:eastAsia="Calibri" w:hAnsi="Calibri" w:cs="Times New Roman"/>
          <w:sz w:val="24"/>
          <w:szCs w:val="24"/>
        </w:rPr>
        <w:t>оригинал или копие, заверено от кандидата</w:t>
      </w:r>
      <w:r w:rsidRPr="00C05727">
        <w:rPr>
          <w:sz w:val="24"/>
          <w:szCs w:val="24"/>
        </w:rPr>
        <w:t>;</w:t>
      </w:r>
    </w:p>
    <w:p w:rsidR="00856A6B" w:rsidRPr="00856A6B" w:rsidRDefault="00856A6B"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05727">
        <w:rPr>
          <w:b/>
          <w:sz w:val="24"/>
          <w:szCs w:val="24"/>
        </w:rPr>
        <w:t>б/</w:t>
      </w:r>
      <w:r w:rsidRPr="00C05727">
        <w:rPr>
          <w:sz w:val="24"/>
          <w:szCs w:val="24"/>
        </w:rPr>
        <w:t xml:space="preserve"> Удостоверение за </w:t>
      </w:r>
      <w:r w:rsidR="00C05727" w:rsidRPr="00C05727">
        <w:rPr>
          <w:sz w:val="24"/>
          <w:szCs w:val="24"/>
        </w:rPr>
        <w:t>липса на задължения към община</w:t>
      </w:r>
      <w:r w:rsidRPr="00C05727">
        <w:rPr>
          <w:sz w:val="24"/>
          <w:szCs w:val="24"/>
        </w:rPr>
        <w:t xml:space="preserve"> (издадено не по-рано от 6 месеца преди датата на представянето му) –  оригинал или копие, заверено от кандидата;</w:t>
      </w:r>
    </w:p>
    <w:p w:rsidR="00183267" w:rsidRPr="003C4AB6" w:rsidRDefault="00856A6B" w:rsidP="0018326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в</w:t>
      </w:r>
      <w:r w:rsidR="00183267" w:rsidRPr="003C4AB6">
        <w:rPr>
          <w:rFonts w:ascii="Calibri" w:eastAsia="Calibri" w:hAnsi="Calibri" w:cs="Times New Roman"/>
          <w:b/>
          <w:sz w:val="24"/>
          <w:szCs w:val="24"/>
        </w:rPr>
        <w:t>/</w:t>
      </w:r>
      <w:r w:rsidR="00183267" w:rsidRPr="003C4AB6">
        <w:rPr>
          <w:rFonts w:ascii="Calibri" w:eastAsia="Calibri" w:hAnsi="Calibri" w:cs="Times New Roman"/>
          <w:sz w:val="24"/>
          <w:szCs w:val="24"/>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 </w:t>
      </w:r>
    </w:p>
    <w:p w:rsidR="00183267" w:rsidRPr="003C4AB6" w:rsidRDefault="00183267" w:rsidP="0018326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183267" w:rsidRDefault="00856A6B" w:rsidP="0018326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г</w:t>
      </w:r>
      <w:r w:rsidR="00183267" w:rsidRPr="003C4AB6">
        <w:rPr>
          <w:rFonts w:ascii="Calibri" w:eastAsia="Calibri" w:hAnsi="Calibri" w:cs="Times New Roman"/>
          <w:b/>
          <w:sz w:val="24"/>
          <w:szCs w:val="24"/>
        </w:rPr>
        <w:t>/</w:t>
      </w:r>
      <w:r w:rsidR="00183267" w:rsidRPr="003C4AB6">
        <w:rPr>
          <w:rFonts w:ascii="Calibri" w:eastAsia="Calibri" w:hAnsi="Calibri" w:cs="Times New Roman"/>
          <w:sz w:val="24"/>
          <w:szCs w:val="24"/>
        </w:rPr>
        <w:t xml:space="preserve"> Нотариално заверено пълномощно, в случаите, когато </w:t>
      </w:r>
      <w:r w:rsidR="00DC5166">
        <w:rPr>
          <w:rFonts w:ascii="Calibri" w:eastAsia="Calibri" w:hAnsi="Calibri" w:cs="Times New Roman"/>
          <w:sz w:val="24"/>
          <w:szCs w:val="24"/>
        </w:rPr>
        <w:t xml:space="preserve">административният </w:t>
      </w:r>
      <w:r w:rsidR="00183267" w:rsidRPr="003C4AB6">
        <w:rPr>
          <w:rFonts w:ascii="Calibri" w:eastAsia="Calibri" w:hAnsi="Calibri" w:cs="Times New Roman"/>
          <w:sz w:val="24"/>
          <w:szCs w:val="24"/>
        </w:rPr>
        <w:t>договор за безвъзмездна финансова помощ ще бъде подписан от лице, различно от законния/</w:t>
      </w:r>
      <w:proofErr w:type="spellStart"/>
      <w:r w:rsidR="00183267" w:rsidRPr="003C4AB6">
        <w:rPr>
          <w:rFonts w:ascii="Calibri" w:eastAsia="Calibri" w:hAnsi="Calibri" w:cs="Times New Roman"/>
          <w:sz w:val="24"/>
          <w:szCs w:val="24"/>
        </w:rPr>
        <w:t>ите</w:t>
      </w:r>
      <w:proofErr w:type="spellEnd"/>
      <w:r w:rsidR="00183267" w:rsidRPr="003C4AB6">
        <w:rPr>
          <w:rFonts w:ascii="Calibri" w:eastAsia="Calibri" w:hAnsi="Calibri" w:cs="Times New Roman"/>
          <w:sz w:val="24"/>
          <w:szCs w:val="24"/>
        </w:rPr>
        <w:t xml:space="preserve"> представител/и на кандидата, съгласно Удостоверението за актуално състояние или вписванията в Търговския регистър –  оригинал или копие, заверено от кандидата. </w:t>
      </w:r>
    </w:p>
    <w:p w:rsidR="00F758AB" w:rsidRPr="00F758AB" w:rsidRDefault="00856A6B" w:rsidP="00F758AB">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д</w:t>
      </w:r>
      <w:r w:rsidR="00F758AB" w:rsidRPr="00F758AB">
        <w:rPr>
          <w:rFonts w:ascii="Calibri" w:eastAsia="Calibri" w:hAnsi="Calibri" w:cs="Times New Roman"/>
          <w:b/>
          <w:sz w:val="24"/>
          <w:szCs w:val="24"/>
        </w:rPr>
        <w:t>/</w:t>
      </w:r>
      <w:r w:rsidR="00F758AB" w:rsidRPr="00F758AB">
        <w:rPr>
          <w:rFonts w:ascii="Calibri" w:eastAsia="Calibri" w:hAnsi="Calibri" w:cs="Times New Roman"/>
          <w:sz w:val="24"/>
          <w:szCs w:val="24"/>
        </w:rPr>
        <w:t xml:space="preserve"> Заявление за профил за достъп на ръководител на бенефициента до ИСУН 2020 (Приложение К1</w:t>
      </w:r>
      <w:r w:rsidR="0023040F">
        <w:rPr>
          <w:rFonts w:ascii="Calibri" w:eastAsia="Calibri" w:hAnsi="Calibri" w:cs="Times New Roman"/>
          <w:sz w:val="24"/>
          <w:szCs w:val="24"/>
        </w:rPr>
        <w:t xml:space="preserve"> към Условията за изпълнение</w:t>
      </w:r>
      <w:r w:rsidR="00F758AB" w:rsidRPr="00F758AB">
        <w:rPr>
          <w:rFonts w:ascii="Calibri" w:eastAsia="Calibri" w:hAnsi="Calibri" w:cs="Times New Roman"/>
          <w:sz w:val="24"/>
          <w:szCs w:val="24"/>
        </w:rPr>
        <w:t>) и/или Заявление за профил за достъп на упълномощени от бенефициента лица до ИСУН 2020 (Приложение К2</w:t>
      </w:r>
      <w:r w:rsidR="0023040F">
        <w:rPr>
          <w:rFonts w:ascii="Calibri" w:eastAsia="Calibri" w:hAnsi="Calibri" w:cs="Times New Roman"/>
          <w:sz w:val="24"/>
          <w:szCs w:val="24"/>
        </w:rPr>
        <w:t xml:space="preserve"> към Условията за изпълнение</w:t>
      </w:r>
      <w:r w:rsidR="00F758AB" w:rsidRPr="00F758AB">
        <w:rPr>
          <w:rFonts w:ascii="Calibri" w:eastAsia="Calibri" w:hAnsi="Calibri" w:cs="Times New Roman"/>
          <w:sz w:val="24"/>
          <w:szCs w:val="24"/>
        </w:rPr>
        <w:t>)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470231" w:rsidRPr="003C4AB6" w:rsidRDefault="00470231" w:rsidP="0047023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Посочените документи се представят от одобрените кандидати при сключване на </w:t>
      </w:r>
      <w:r w:rsidR="00DC5166">
        <w:rPr>
          <w:rFonts w:ascii="Calibri" w:eastAsia="Calibri" w:hAnsi="Calibri" w:cs="Times New Roman"/>
          <w:sz w:val="24"/>
          <w:szCs w:val="24"/>
        </w:rPr>
        <w:t xml:space="preserve">административните </w:t>
      </w:r>
      <w:r w:rsidRPr="003C4AB6">
        <w:rPr>
          <w:rFonts w:ascii="Calibri" w:eastAsia="Calibri" w:hAnsi="Calibri" w:cs="Times New Roman"/>
          <w:sz w:val="24"/>
          <w:szCs w:val="24"/>
        </w:rPr>
        <w:t xml:space="preserve">договори за </w:t>
      </w:r>
      <w:r w:rsidRPr="00E36E23">
        <w:rPr>
          <w:rFonts w:ascii="Calibri" w:eastAsia="Calibri" w:hAnsi="Calibri" w:cs="Times New Roman"/>
          <w:sz w:val="24"/>
          <w:szCs w:val="24"/>
        </w:rPr>
        <w:t xml:space="preserve">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9, ал. 1, ал. 2 и ал. 3 на ПМС № 107/10.05.2014 </w:t>
      </w:r>
      <w:r w:rsidR="00625E66" w:rsidRPr="00E36E23">
        <w:rPr>
          <w:rFonts w:ascii="Calibri" w:eastAsia="Calibri" w:hAnsi="Calibri" w:cs="Times New Roman"/>
          <w:sz w:val="24"/>
          <w:szCs w:val="24"/>
        </w:rPr>
        <w:t xml:space="preserve">и чл. 25, ал. 2 от Закона за управление на средствата от европейските структурни и инвестиционни фондове </w:t>
      </w:r>
      <w:r w:rsidRPr="00E36E23">
        <w:rPr>
          <w:rFonts w:ascii="Calibri" w:eastAsia="Calibri" w:hAnsi="Calibri" w:cs="Times New Roman"/>
          <w:sz w:val="24"/>
          <w:szCs w:val="24"/>
        </w:rPr>
        <w:t>въз основа на представените документи.</w:t>
      </w:r>
      <w:r w:rsidRPr="003C4AB6">
        <w:rPr>
          <w:rFonts w:ascii="Calibri" w:eastAsia="Calibri" w:hAnsi="Calibri" w:cs="Times New Roman"/>
          <w:sz w:val="24"/>
          <w:szCs w:val="24"/>
        </w:rPr>
        <w:t xml:space="preserve"> </w:t>
      </w:r>
    </w:p>
    <w:p w:rsidR="00470231" w:rsidRPr="003C4AB6" w:rsidRDefault="00470231" w:rsidP="0047023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Срокът за представяне на посочените документи </w:t>
      </w:r>
      <w:r w:rsidR="00CC4730">
        <w:rPr>
          <w:rFonts w:ascii="Calibri" w:eastAsia="Calibri" w:hAnsi="Calibri" w:cs="Times New Roman"/>
          <w:sz w:val="24"/>
          <w:szCs w:val="24"/>
        </w:rPr>
        <w:t>е 10</w:t>
      </w:r>
      <w:r w:rsidRPr="003C4AB6">
        <w:rPr>
          <w:rFonts w:ascii="Calibri" w:eastAsia="Calibri" w:hAnsi="Calibri" w:cs="Times New Roman"/>
          <w:sz w:val="24"/>
          <w:szCs w:val="24"/>
        </w:rPr>
        <w:t xml:space="preserve"> дни считано от датата на получаване на </w:t>
      </w:r>
      <w:r w:rsidR="00767B69">
        <w:rPr>
          <w:rFonts w:ascii="Calibri" w:eastAsia="Calibri" w:hAnsi="Calibri" w:cs="Times New Roman"/>
          <w:sz w:val="24"/>
          <w:szCs w:val="24"/>
        </w:rPr>
        <w:t>поканата</w:t>
      </w:r>
      <w:r w:rsidRPr="003C4AB6">
        <w:rPr>
          <w:rFonts w:ascii="Calibri" w:eastAsia="Calibri" w:hAnsi="Calibri" w:cs="Times New Roman"/>
          <w:sz w:val="24"/>
          <w:szCs w:val="24"/>
        </w:rPr>
        <w:t>.</w:t>
      </w:r>
    </w:p>
    <w:p w:rsidR="00470231" w:rsidRPr="003C4AB6" w:rsidRDefault="00470231" w:rsidP="0047023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3C4AB6">
        <w:rPr>
          <w:rFonts w:ascii="Calibri" w:eastAsia="Calibri" w:hAnsi="Calibri" w:cs="Times New Roman"/>
          <w:b/>
          <w:sz w:val="24"/>
          <w:szCs w:val="24"/>
        </w:rPr>
        <w:t>Предмет на проверката пр</w:t>
      </w:r>
      <w:r w:rsidR="00767B69">
        <w:rPr>
          <w:rFonts w:ascii="Calibri" w:eastAsia="Calibri" w:hAnsi="Calibri" w:cs="Times New Roman"/>
          <w:b/>
          <w:sz w:val="24"/>
          <w:szCs w:val="24"/>
        </w:rPr>
        <w:t>еди</w:t>
      </w:r>
      <w:r w:rsidRPr="003C4AB6">
        <w:rPr>
          <w:rFonts w:ascii="Calibri" w:eastAsia="Calibri" w:hAnsi="Calibri" w:cs="Times New Roman"/>
          <w:b/>
          <w:sz w:val="24"/>
          <w:szCs w:val="24"/>
        </w:rPr>
        <w:t xml:space="preserve"> сключване на </w:t>
      </w:r>
      <w:r w:rsidR="00767B69">
        <w:rPr>
          <w:rFonts w:ascii="Calibri" w:eastAsia="Calibri" w:hAnsi="Calibri" w:cs="Times New Roman"/>
          <w:b/>
          <w:sz w:val="24"/>
          <w:szCs w:val="24"/>
        </w:rPr>
        <w:t xml:space="preserve">административен </w:t>
      </w:r>
      <w:r w:rsidRPr="003C4AB6">
        <w:rPr>
          <w:rFonts w:ascii="Calibri" w:eastAsia="Calibri" w:hAnsi="Calibri" w:cs="Times New Roman"/>
          <w:b/>
          <w:sz w:val="24"/>
          <w:szCs w:val="24"/>
        </w:rPr>
        <w:t>договор ще бъде и обстоятелството дали кандидатът е регистриран по реда на Търговския закон или съответно Закона за кооперациите.</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b/>
          <w:sz w:val="24"/>
          <w:szCs w:val="24"/>
        </w:rPr>
        <w:t xml:space="preserve">Б) </w:t>
      </w:r>
      <w:r w:rsidRPr="003C4AB6">
        <w:rPr>
          <w:rFonts w:ascii="Calibri" w:eastAsia="Calibri" w:hAnsi="Calibri" w:cs="Times New Roman"/>
          <w:sz w:val="24"/>
          <w:szCs w:val="24"/>
        </w:rPr>
        <w:t xml:space="preserve">За документална проверка на декларираната категория предприятие при сключване на </w:t>
      </w:r>
      <w:r w:rsidR="007120DE">
        <w:rPr>
          <w:rFonts w:ascii="Calibri" w:eastAsia="Calibri" w:hAnsi="Calibri" w:cs="Times New Roman"/>
          <w:sz w:val="24"/>
          <w:szCs w:val="24"/>
        </w:rPr>
        <w:t xml:space="preserve">административните </w:t>
      </w:r>
      <w:r w:rsidRPr="003C4AB6">
        <w:rPr>
          <w:rFonts w:ascii="Calibri" w:eastAsia="Calibri" w:hAnsi="Calibri" w:cs="Times New Roman"/>
          <w:sz w:val="24"/>
          <w:szCs w:val="24"/>
        </w:rPr>
        <w:t>договори за предоставяне на безвъзмездна финансова помощ одобрените кандидати следва да представят в горепосочения срок, указан от Управляващия орган и:</w:t>
      </w:r>
    </w:p>
    <w:p w:rsidR="0033797E" w:rsidRPr="003C4AB6" w:rsidRDefault="00856A6B"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lastRenderedPageBreak/>
        <w:t>е</w:t>
      </w:r>
      <w:r w:rsidR="0033797E" w:rsidRPr="003C4AB6">
        <w:rPr>
          <w:rFonts w:ascii="Calibri" w:eastAsia="Calibri" w:hAnsi="Calibri" w:cs="Times New Roman"/>
          <w:b/>
          <w:sz w:val="24"/>
          <w:szCs w:val="24"/>
        </w:rPr>
        <w:t>/</w:t>
      </w:r>
      <w:r w:rsidR="0033797E" w:rsidRPr="003C4AB6">
        <w:rPr>
          <w:rFonts w:ascii="Calibri" w:eastAsia="Calibri" w:hAnsi="Calibri" w:cs="Times New Roman"/>
          <w:sz w:val="24"/>
          <w:szCs w:val="24"/>
        </w:rPr>
        <w:t xml:space="preserve"> Справка за обобщените параметри на предприятието, което подава Декларация за обстоятелст</w:t>
      </w:r>
      <w:r w:rsidR="00964FBC" w:rsidRPr="003C4AB6">
        <w:rPr>
          <w:rFonts w:ascii="Calibri" w:eastAsia="Calibri" w:hAnsi="Calibri" w:cs="Times New Roman"/>
          <w:sz w:val="24"/>
          <w:szCs w:val="24"/>
        </w:rPr>
        <w:t>вата по чл. 3 и чл. 4 на ЗМСП (</w:t>
      </w:r>
      <w:r w:rsidR="00AE3BD5" w:rsidRPr="003C4AB6">
        <w:rPr>
          <w:rFonts w:ascii="Calibri" w:eastAsia="Calibri" w:hAnsi="Calibri" w:cs="Times New Roman"/>
          <w:sz w:val="24"/>
          <w:szCs w:val="24"/>
        </w:rPr>
        <w:t>Приложение Д</w:t>
      </w:r>
      <w:r w:rsidR="0033797E" w:rsidRPr="003C4AB6">
        <w:rPr>
          <w:rFonts w:ascii="Calibri" w:eastAsia="Calibri" w:hAnsi="Calibri" w:cs="Times New Roman"/>
          <w:sz w:val="24"/>
          <w:szCs w:val="24"/>
        </w:rPr>
        <w:t>1</w:t>
      </w:r>
      <w:r w:rsidR="00964FBC" w:rsidRPr="003C4AB6">
        <w:rPr>
          <w:rFonts w:ascii="Calibri" w:eastAsia="Calibri" w:hAnsi="Calibri" w:cs="Times New Roman"/>
          <w:sz w:val="24"/>
          <w:szCs w:val="24"/>
        </w:rPr>
        <w:t>)</w:t>
      </w:r>
      <w:r w:rsidR="0033797E" w:rsidRPr="003C4AB6">
        <w:rPr>
          <w:rFonts w:ascii="Calibri" w:eastAsia="Calibri" w:hAnsi="Calibri" w:cs="Times New Roman"/>
          <w:sz w:val="24"/>
          <w:szCs w:val="24"/>
        </w:rPr>
        <w:t xml:space="preserve"> – не се изисква за независими предприятия по смисъла на чл. 4, ал. 2 и ал. 4 от ЗМСП.</w:t>
      </w:r>
    </w:p>
    <w:p w:rsidR="0033797E" w:rsidRPr="003C4AB6" w:rsidRDefault="00856A6B"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ж</w:t>
      </w:r>
      <w:r w:rsidR="0033797E" w:rsidRPr="003C4AB6">
        <w:rPr>
          <w:rFonts w:ascii="Calibri" w:eastAsia="Calibri" w:hAnsi="Calibri" w:cs="Times New Roman"/>
          <w:b/>
          <w:sz w:val="24"/>
          <w:szCs w:val="24"/>
        </w:rPr>
        <w:t>/</w:t>
      </w:r>
      <w:r w:rsidR="0033797E" w:rsidRPr="003C4AB6">
        <w:rPr>
          <w:rFonts w:ascii="Calibri" w:eastAsia="Calibri" w:hAnsi="Calibri" w:cs="Times New Roman"/>
          <w:sz w:val="24"/>
          <w:szCs w:val="24"/>
        </w:rPr>
        <w:t xml:space="preserve"> Следните документи, </w:t>
      </w:r>
      <w:proofErr w:type="spellStart"/>
      <w:r w:rsidR="0033797E" w:rsidRPr="003C4AB6">
        <w:rPr>
          <w:rFonts w:ascii="Calibri" w:eastAsia="Calibri" w:hAnsi="Calibri" w:cs="Times New Roman"/>
          <w:sz w:val="24"/>
          <w:szCs w:val="24"/>
        </w:rPr>
        <w:t>относими</w:t>
      </w:r>
      <w:proofErr w:type="spellEnd"/>
      <w:r w:rsidR="0033797E" w:rsidRPr="003C4AB6">
        <w:rPr>
          <w:rFonts w:ascii="Calibri" w:eastAsia="Calibri" w:hAnsi="Calibri" w:cs="Times New Roman"/>
          <w:sz w:val="24"/>
          <w:szCs w:val="24"/>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Pr="003C4AB6">
        <w:rPr>
          <w:rFonts w:ascii="Calibri" w:eastAsia="Calibri" w:hAnsi="Calibri" w:cs="Times New Roman"/>
          <w:i/>
          <w:sz w:val="24"/>
          <w:szCs w:val="24"/>
        </w:rPr>
        <w:t>Книга за акционерите</w:t>
      </w:r>
      <w:r w:rsidRPr="003C4AB6">
        <w:rPr>
          <w:rFonts w:ascii="Calibri" w:eastAsia="Calibri" w:hAnsi="Calibri" w:cs="Times New Roman"/>
          <w:sz w:val="24"/>
          <w:szCs w:val="24"/>
        </w:rPr>
        <w:t xml:space="preserve"> - приложимо за акционерните дружества с поименни акции;</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Pr="003C4AB6">
        <w:rPr>
          <w:rFonts w:ascii="Calibri" w:eastAsia="Calibri" w:hAnsi="Calibri" w:cs="Times New Roman"/>
          <w:i/>
          <w:sz w:val="24"/>
          <w:szCs w:val="24"/>
        </w:rPr>
        <w:t>Дружествен договор</w:t>
      </w:r>
      <w:r w:rsidRPr="003C4AB6">
        <w:rPr>
          <w:rFonts w:ascii="Calibri" w:eastAsia="Calibri" w:hAnsi="Calibri" w:cs="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Pr="003C4AB6">
        <w:rPr>
          <w:rFonts w:ascii="Calibri" w:eastAsia="Calibri" w:hAnsi="Calibri" w:cs="Times New Roman"/>
          <w:i/>
          <w:sz w:val="24"/>
          <w:szCs w:val="24"/>
        </w:rPr>
        <w:t>Книга за акционерите и устав</w:t>
      </w:r>
      <w:r w:rsidRPr="003C4AB6">
        <w:rPr>
          <w:rFonts w:ascii="Calibri" w:eastAsia="Calibri" w:hAnsi="Calibri" w:cs="Times New Roman"/>
          <w:sz w:val="24"/>
          <w:szCs w:val="24"/>
        </w:rPr>
        <w:t xml:space="preserve"> - приложимо за командитните дружества с акции;</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Pr="003C4AB6">
        <w:rPr>
          <w:rFonts w:ascii="Calibri" w:eastAsia="Calibri" w:hAnsi="Calibri" w:cs="Times New Roman"/>
          <w:i/>
          <w:sz w:val="24"/>
          <w:szCs w:val="24"/>
        </w:rPr>
        <w:t>Устав</w:t>
      </w:r>
      <w:r w:rsidRPr="003C4AB6">
        <w:rPr>
          <w:rFonts w:ascii="Calibri" w:eastAsia="Calibri" w:hAnsi="Calibri" w:cs="Times New Roman"/>
          <w:sz w:val="24"/>
          <w:szCs w:val="24"/>
        </w:rPr>
        <w:t xml:space="preserve"> - приложимо за кооперациите; </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 </w:t>
      </w:r>
      <w:r w:rsidRPr="003C4AB6">
        <w:rPr>
          <w:rFonts w:ascii="Calibri" w:eastAsia="Calibri" w:hAnsi="Calibri" w:cs="Times New Roman"/>
          <w:i/>
          <w:sz w:val="24"/>
          <w:szCs w:val="24"/>
        </w:rPr>
        <w:t>Справка за разпределение капитала на дружеството</w:t>
      </w:r>
      <w:r w:rsidRPr="003C4AB6">
        <w:rPr>
          <w:rFonts w:ascii="Calibri" w:eastAsia="Calibri" w:hAnsi="Calibri" w:cs="Times New Roman"/>
          <w:sz w:val="24"/>
          <w:szCs w:val="24"/>
        </w:rPr>
        <w:t xml:space="preserve">  – приложимо за акционерните дружества.</w:t>
      </w:r>
    </w:p>
    <w:p w:rsidR="0033797E"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Посочените документи се представят като копие, заверено от кандидата, в случай че не са оповестени в Търговския регистър. В случай че посочените документи са оповестени в Търговския регистър, същите ще се проверяват по служебен път съгласно чл. 23, ал. 6 от Закона за търговския регистър.</w:t>
      </w:r>
    </w:p>
    <w:p w:rsidR="0033797E" w:rsidRPr="003C4AB6" w:rsidRDefault="00856A6B"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з</w:t>
      </w:r>
      <w:r w:rsidR="0033797E" w:rsidRPr="003C4AB6">
        <w:rPr>
          <w:rFonts w:ascii="Calibri" w:eastAsia="Calibri" w:hAnsi="Calibri" w:cs="Times New Roman"/>
          <w:b/>
          <w:sz w:val="24"/>
          <w:szCs w:val="24"/>
        </w:rPr>
        <w:t>/</w:t>
      </w:r>
      <w:r w:rsidR="0033797E" w:rsidRPr="003C4AB6">
        <w:rPr>
          <w:rFonts w:ascii="Calibri" w:eastAsia="Calibri" w:hAnsi="Calibri" w:cs="Times New Roman"/>
          <w:sz w:val="24"/>
          <w:szCs w:val="24"/>
        </w:rPr>
        <w:t xml:space="preserve"> Отчет за приходите и разходите и Счетоводен баланс</w:t>
      </w:r>
      <w:r w:rsidR="0033797E" w:rsidRPr="003C4AB6">
        <w:rPr>
          <w:rFonts w:ascii="Calibri" w:eastAsia="Calibri" w:hAnsi="Calibri" w:cs="Times New Roman"/>
          <w:sz w:val="24"/>
          <w:szCs w:val="24"/>
          <w:vertAlign w:val="superscript"/>
        </w:rPr>
        <w:footnoteReference w:id="26"/>
      </w:r>
      <w:r w:rsidR="00C236A7">
        <w:rPr>
          <w:rFonts w:ascii="Calibri" w:eastAsia="Calibri" w:hAnsi="Calibri" w:cs="Times New Roman"/>
          <w:sz w:val="24"/>
          <w:szCs w:val="24"/>
        </w:rPr>
        <w:t xml:space="preserve"> за последните две приключени</w:t>
      </w:r>
      <w:r w:rsidR="0033797E" w:rsidRPr="003C4AB6">
        <w:rPr>
          <w:rFonts w:ascii="Calibri" w:eastAsia="Calibri" w:hAnsi="Calibri" w:cs="Times New Roman"/>
          <w:sz w:val="24"/>
          <w:szCs w:val="24"/>
        </w:rPr>
        <w:t xml:space="preserve"> финансов</w:t>
      </w:r>
      <w:r w:rsidR="00C236A7">
        <w:rPr>
          <w:rFonts w:ascii="Calibri" w:eastAsia="Calibri" w:hAnsi="Calibri" w:cs="Times New Roman"/>
          <w:sz w:val="24"/>
          <w:szCs w:val="24"/>
        </w:rPr>
        <w:t>и години</w:t>
      </w:r>
      <w:r w:rsidR="0033797E" w:rsidRPr="003C4AB6">
        <w:rPr>
          <w:rFonts w:ascii="Calibri" w:eastAsia="Calibri" w:hAnsi="Calibri" w:cs="Times New Roman"/>
          <w:sz w:val="24"/>
          <w:szCs w:val="24"/>
          <w:vertAlign w:val="superscript"/>
        </w:rPr>
        <w:footnoteReference w:id="27"/>
      </w:r>
      <w:r w:rsidR="0033797E" w:rsidRPr="003C4AB6">
        <w:rPr>
          <w:rFonts w:ascii="Calibri" w:eastAsia="Calibri" w:hAnsi="Calibri" w:cs="Times New Roman"/>
          <w:sz w:val="24"/>
          <w:szCs w:val="24"/>
        </w:rPr>
        <w:t xml:space="preserve"> </w:t>
      </w:r>
      <w:r w:rsidR="0045714C" w:rsidRPr="003C4AB6">
        <w:rPr>
          <w:rFonts w:ascii="Calibri" w:eastAsia="Calibri" w:hAnsi="Calibri" w:cs="Times New Roman"/>
          <w:sz w:val="24"/>
          <w:szCs w:val="24"/>
        </w:rPr>
        <w:t>(</w:t>
      </w:r>
      <w:r w:rsidR="003C637C" w:rsidRPr="003C4AB6">
        <w:rPr>
          <w:rFonts w:ascii="Calibri" w:eastAsia="Calibri" w:hAnsi="Calibri" w:cs="Times New Roman"/>
          <w:sz w:val="24"/>
          <w:szCs w:val="24"/>
        </w:rPr>
        <w:t>ако е приложимо</w:t>
      </w:r>
      <w:r w:rsidR="0045714C" w:rsidRPr="003C4AB6">
        <w:rPr>
          <w:rFonts w:ascii="Calibri" w:eastAsia="Calibri" w:hAnsi="Calibri" w:cs="Times New Roman"/>
          <w:sz w:val="24"/>
          <w:szCs w:val="24"/>
        </w:rPr>
        <w:t>)</w:t>
      </w:r>
      <w:r w:rsidR="0033797E" w:rsidRPr="003C4AB6">
        <w:rPr>
          <w:rFonts w:ascii="Calibri" w:eastAsia="Calibri" w:hAnsi="Calibri" w:cs="Times New Roman"/>
          <w:sz w:val="24"/>
          <w:szCs w:val="24"/>
        </w:rPr>
        <w:t xml:space="preserve"> </w:t>
      </w:r>
      <w:r w:rsidR="00231028">
        <w:rPr>
          <w:rFonts w:ascii="Calibri" w:eastAsia="Calibri" w:hAnsi="Calibri" w:cs="Times New Roman"/>
          <w:sz w:val="24"/>
          <w:szCs w:val="24"/>
        </w:rPr>
        <w:t xml:space="preserve">във </w:t>
      </w:r>
      <w:r w:rsidR="00231028" w:rsidRPr="00231028">
        <w:rPr>
          <w:rFonts w:ascii="Calibri" w:eastAsia="Calibri" w:hAnsi="Calibri" w:cs="Times New Roman"/>
          <w:sz w:val="24"/>
          <w:szCs w:val="24"/>
        </w:rPr>
        <w:t xml:space="preserve">формат </w:t>
      </w:r>
      <w:r w:rsidR="00231028">
        <w:rPr>
          <w:rFonts w:ascii="Calibri" w:eastAsia="Calibri" w:hAnsi="Calibri" w:cs="Times New Roman"/>
          <w:sz w:val="24"/>
          <w:szCs w:val="24"/>
        </w:rPr>
        <w:t xml:space="preserve">идентичен </w:t>
      </w:r>
      <w:r w:rsidR="00231028" w:rsidRPr="00231028">
        <w:rPr>
          <w:rFonts w:ascii="Calibri" w:eastAsia="Calibri" w:hAnsi="Calibri" w:cs="Times New Roman"/>
          <w:sz w:val="24"/>
          <w:szCs w:val="24"/>
        </w:rPr>
        <w:t xml:space="preserve">на този, в който са подадени към НСИ </w:t>
      </w:r>
      <w:r w:rsidR="0033797E" w:rsidRPr="003C4AB6">
        <w:rPr>
          <w:rFonts w:ascii="Calibri" w:eastAsia="Calibri" w:hAnsi="Calibri" w:cs="Times New Roman"/>
          <w:sz w:val="24"/>
          <w:szCs w:val="24"/>
        </w:rPr>
        <w:t>–  оригинал или копие, заверено от кандидата.</w:t>
      </w:r>
    </w:p>
    <w:p w:rsidR="003F56FD" w:rsidRPr="003C4AB6" w:rsidRDefault="0033797E"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В случай че посочените документи са о</w:t>
      </w:r>
      <w:r w:rsidR="003F56FD" w:rsidRPr="003C4AB6">
        <w:rPr>
          <w:rFonts w:ascii="Calibri" w:eastAsia="Calibri" w:hAnsi="Calibri" w:cs="Times New Roman"/>
          <w:sz w:val="24"/>
          <w:szCs w:val="24"/>
        </w:rPr>
        <w:t>повестени в Търговския регистър</w:t>
      </w:r>
      <w:r w:rsidR="003C637C" w:rsidRPr="003C4AB6">
        <w:rPr>
          <w:rFonts w:ascii="Calibri" w:eastAsia="Calibri" w:hAnsi="Calibri" w:cs="Times New Roman"/>
          <w:sz w:val="24"/>
          <w:szCs w:val="24"/>
        </w:rPr>
        <w:t xml:space="preserve"> </w:t>
      </w:r>
      <w:r w:rsidR="003F56FD" w:rsidRPr="003C4AB6">
        <w:rPr>
          <w:rFonts w:ascii="Calibri" w:eastAsia="Calibri" w:hAnsi="Calibri" w:cs="Times New Roman"/>
          <w:sz w:val="24"/>
          <w:szCs w:val="24"/>
        </w:rPr>
        <w:t>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rsidR="0033797E" w:rsidRPr="003C4AB6" w:rsidRDefault="00856A6B" w:rsidP="0033797E">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и</w:t>
      </w:r>
      <w:r w:rsidR="0033797E" w:rsidRPr="003C4AB6">
        <w:rPr>
          <w:rFonts w:ascii="Calibri" w:eastAsia="Calibri" w:hAnsi="Calibri" w:cs="Times New Roman"/>
          <w:b/>
          <w:sz w:val="24"/>
          <w:szCs w:val="24"/>
        </w:rPr>
        <w:t>/</w:t>
      </w:r>
      <w:r w:rsidR="0033797E" w:rsidRPr="003C4AB6">
        <w:rPr>
          <w:rFonts w:ascii="Calibri" w:eastAsia="Calibri" w:hAnsi="Calibri" w:cs="Times New Roman"/>
          <w:sz w:val="24"/>
          <w:szCs w:val="24"/>
        </w:rPr>
        <w:t xml:space="preserve"> Отчет за заетите лица, средствата за работна заплата и други разходи за труд</w:t>
      </w:r>
      <w:r w:rsidR="0033797E" w:rsidRPr="003C4AB6">
        <w:rPr>
          <w:rFonts w:ascii="Calibri" w:eastAsia="Calibri" w:hAnsi="Calibri" w:cs="Times New Roman"/>
          <w:sz w:val="24"/>
          <w:szCs w:val="24"/>
          <w:vertAlign w:val="superscript"/>
        </w:rPr>
        <w:footnoteReference w:id="28"/>
      </w:r>
      <w:r w:rsidR="003C637C" w:rsidRPr="003C4AB6">
        <w:rPr>
          <w:rFonts w:ascii="Calibri" w:eastAsia="Calibri" w:hAnsi="Calibri" w:cs="Times New Roman"/>
          <w:sz w:val="24"/>
          <w:szCs w:val="24"/>
        </w:rPr>
        <w:t xml:space="preserve"> </w:t>
      </w:r>
      <w:r w:rsidR="0033797E" w:rsidRPr="003C4AB6">
        <w:rPr>
          <w:rFonts w:ascii="Calibri" w:eastAsia="Calibri" w:hAnsi="Calibri" w:cs="Times New Roman"/>
          <w:sz w:val="24"/>
          <w:szCs w:val="24"/>
        </w:rPr>
        <w:t>за последн</w:t>
      </w:r>
      <w:r w:rsidR="001009FD">
        <w:rPr>
          <w:rFonts w:ascii="Calibri" w:eastAsia="Calibri" w:hAnsi="Calibri" w:cs="Times New Roman"/>
          <w:sz w:val="24"/>
          <w:szCs w:val="24"/>
        </w:rPr>
        <w:t>ите две</w:t>
      </w:r>
      <w:r w:rsidR="0033797E" w:rsidRPr="003C4AB6">
        <w:rPr>
          <w:rFonts w:ascii="Calibri" w:eastAsia="Calibri" w:hAnsi="Calibri" w:cs="Times New Roman"/>
          <w:sz w:val="24"/>
          <w:szCs w:val="24"/>
        </w:rPr>
        <w:t xml:space="preserve"> приключен</w:t>
      </w:r>
      <w:r w:rsidR="001009FD">
        <w:rPr>
          <w:rFonts w:ascii="Calibri" w:eastAsia="Calibri" w:hAnsi="Calibri" w:cs="Times New Roman"/>
          <w:sz w:val="24"/>
          <w:szCs w:val="24"/>
        </w:rPr>
        <w:t>и</w:t>
      </w:r>
      <w:r w:rsidR="0033797E" w:rsidRPr="003C4AB6">
        <w:rPr>
          <w:rFonts w:ascii="Calibri" w:eastAsia="Calibri" w:hAnsi="Calibri" w:cs="Times New Roman"/>
          <w:sz w:val="24"/>
          <w:szCs w:val="24"/>
        </w:rPr>
        <w:t xml:space="preserve"> финансов</w:t>
      </w:r>
      <w:r w:rsidR="001009FD">
        <w:rPr>
          <w:rFonts w:ascii="Calibri" w:eastAsia="Calibri" w:hAnsi="Calibri" w:cs="Times New Roman"/>
          <w:sz w:val="24"/>
          <w:szCs w:val="24"/>
        </w:rPr>
        <w:t>и</w:t>
      </w:r>
      <w:r w:rsidR="0033797E" w:rsidRPr="003C4AB6">
        <w:rPr>
          <w:rFonts w:ascii="Calibri" w:eastAsia="Calibri" w:hAnsi="Calibri" w:cs="Times New Roman"/>
          <w:sz w:val="24"/>
          <w:szCs w:val="24"/>
        </w:rPr>
        <w:t xml:space="preserve"> годин</w:t>
      </w:r>
      <w:r w:rsidR="001009FD">
        <w:rPr>
          <w:rFonts w:ascii="Calibri" w:eastAsia="Calibri" w:hAnsi="Calibri" w:cs="Times New Roman"/>
          <w:sz w:val="24"/>
          <w:szCs w:val="24"/>
        </w:rPr>
        <w:t>и</w:t>
      </w:r>
      <w:r w:rsidR="0033797E" w:rsidRPr="003C4AB6">
        <w:rPr>
          <w:rFonts w:ascii="Calibri" w:eastAsia="Calibri" w:hAnsi="Calibri" w:cs="Times New Roman"/>
          <w:sz w:val="24"/>
          <w:szCs w:val="24"/>
        </w:rPr>
        <w:t xml:space="preserve"> </w:t>
      </w:r>
      <w:r w:rsidR="00E740FA" w:rsidRPr="003C4AB6">
        <w:rPr>
          <w:rFonts w:ascii="Calibri" w:eastAsia="Calibri" w:hAnsi="Calibri" w:cs="Times New Roman"/>
          <w:sz w:val="24"/>
          <w:szCs w:val="24"/>
        </w:rPr>
        <w:t>(ако е приложимо)</w:t>
      </w:r>
      <w:r w:rsidR="0033797E" w:rsidRPr="003C4AB6">
        <w:rPr>
          <w:rFonts w:ascii="Calibri" w:eastAsia="Calibri" w:hAnsi="Calibri" w:cs="Times New Roman"/>
          <w:sz w:val="24"/>
          <w:szCs w:val="24"/>
        </w:rPr>
        <w:t xml:space="preserve"> </w:t>
      </w:r>
      <w:r w:rsidR="00231028">
        <w:rPr>
          <w:rFonts w:ascii="Calibri" w:eastAsia="Calibri" w:hAnsi="Calibri" w:cs="Times New Roman"/>
          <w:sz w:val="24"/>
          <w:szCs w:val="24"/>
        </w:rPr>
        <w:t xml:space="preserve">във </w:t>
      </w:r>
      <w:r w:rsidR="00231028" w:rsidRPr="00231028">
        <w:rPr>
          <w:rFonts w:ascii="Calibri" w:eastAsia="Calibri" w:hAnsi="Calibri" w:cs="Times New Roman"/>
          <w:sz w:val="24"/>
          <w:szCs w:val="24"/>
        </w:rPr>
        <w:t xml:space="preserve">формат </w:t>
      </w:r>
      <w:r w:rsidR="00231028">
        <w:rPr>
          <w:rFonts w:ascii="Calibri" w:eastAsia="Calibri" w:hAnsi="Calibri" w:cs="Times New Roman"/>
          <w:sz w:val="24"/>
          <w:szCs w:val="24"/>
        </w:rPr>
        <w:t xml:space="preserve">идентичен </w:t>
      </w:r>
      <w:r w:rsidR="00231028" w:rsidRPr="00231028">
        <w:rPr>
          <w:rFonts w:ascii="Calibri" w:eastAsia="Calibri" w:hAnsi="Calibri" w:cs="Times New Roman"/>
          <w:sz w:val="24"/>
          <w:szCs w:val="24"/>
        </w:rPr>
        <w:t>на този, в който са подадени към НСИ</w:t>
      </w:r>
      <w:r w:rsidR="00231028" w:rsidRPr="003C4AB6">
        <w:rPr>
          <w:rFonts w:ascii="Calibri" w:eastAsia="Calibri" w:hAnsi="Calibri" w:cs="Times New Roman"/>
          <w:sz w:val="24"/>
          <w:szCs w:val="24"/>
        </w:rPr>
        <w:t xml:space="preserve"> </w:t>
      </w:r>
      <w:r w:rsidR="0033797E" w:rsidRPr="003C4AB6">
        <w:rPr>
          <w:rFonts w:ascii="Calibri" w:eastAsia="Calibri" w:hAnsi="Calibri" w:cs="Times New Roman"/>
          <w:sz w:val="24"/>
          <w:szCs w:val="24"/>
        </w:rPr>
        <w:t>–  оригинал или копие, заверено от кандидата.</w:t>
      </w:r>
    </w:p>
    <w:p w:rsidR="00E740FA" w:rsidRPr="003C4AB6" w:rsidRDefault="00E740FA" w:rsidP="00E740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lastRenderedPageBreak/>
        <w:t>В случай че посочените документи са оповестени в Търговския регистър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rsidR="0033797E" w:rsidRPr="003C4AB6" w:rsidRDefault="0033797E" w:rsidP="0033797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b/>
          <w:sz w:val="24"/>
          <w:szCs w:val="24"/>
        </w:rPr>
      </w:pPr>
      <w:r w:rsidRPr="003C4AB6">
        <w:rPr>
          <w:rFonts w:ascii="Calibri" w:eastAsia="Calibri" w:hAnsi="Calibri" w:cs="Times New Roman"/>
          <w:b/>
          <w:sz w:val="24"/>
          <w:szCs w:val="24"/>
          <w:u w:val="single"/>
        </w:rPr>
        <w:t>ВАЖНО:</w:t>
      </w:r>
      <w:r w:rsidRPr="003C4AB6">
        <w:rPr>
          <w:rFonts w:ascii="Calibri" w:eastAsia="Calibri" w:hAnsi="Calibri" w:cs="Times New Roman"/>
          <w:b/>
          <w:sz w:val="24"/>
          <w:szCs w:val="24"/>
        </w:rPr>
        <w:t xml:space="preserve"> Преди сключване на </w:t>
      </w:r>
      <w:r w:rsidR="00767B69">
        <w:rPr>
          <w:rFonts w:ascii="Calibri" w:eastAsia="Calibri" w:hAnsi="Calibri" w:cs="Times New Roman"/>
          <w:b/>
          <w:sz w:val="24"/>
          <w:szCs w:val="24"/>
        </w:rPr>
        <w:t xml:space="preserve">административен </w:t>
      </w:r>
      <w:r w:rsidRPr="003C4AB6">
        <w:rPr>
          <w:rFonts w:ascii="Calibri" w:eastAsia="Calibri" w:hAnsi="Calibri" w:cs="Times New Roman"/>
          <w:b/>
          <w:sz w:val="24"/>
          <w:szCs w:val="24"/>
        </w:rPr>
        <w:t xml:space="preserve">договор, Управляващият орган ще извършва документална проверка на декларираната от одобрените кандидати категория на </w:t>
      </w:r>
      <w:proofErr w:type="spellStart"/>
      <w:r w:rsidRPr="003C4AB6">
        <w:rPr>
          <w:rFonts w:ascii="Calibri" w:eastAsia="Calibri" w:hAnsi="Calibri" w:cs="Times New Roman"/>
          <w:b/>
          <w:sz w:val="24"/>
          <w:szCs w:val="24"/>
        </w:rPr>
        <w:t>микро</w:t>
      </w:r>
      <w:proofErr w:type="spellEnd"/>
      <w:r w:rsidRPr="003C4AB6">
        <w:rPr>
          <w:rFonts w:ascii="Calibri" w:eastAsia="Calibri" w:hAnsi="Calibri" w:cs="Times New Roman"/>
          <w:b/>
          <w:sz w:val="24"/>
          <w:szCs w:val="24"/>
        </w:rPr>
        <w:t xml:space="preserve">, малко, средно или голямо предприятие. </w:t>
      </w:r>
    </w:p>
    <w:p w:rsidR="0033797E" w:rsidRPr="003C4AB6" w:rsidRDefault="0033797E" w:rsidP="0033797E">
      <w:pPr>
        <w:pBdr>
          <w:top w:val="single" w:sz="4" w:space="1" w:color="auto"/>
          <w:left w:val="single" w:sz="4" w:space="4" w:color="auto"/>
          <w:bottom w:val="single" w:sz="4" w:space="1" w:color="auto"/>
          <w:right w:val="single" w:sz="4" w:space="4" w:color="auto"/>
        </w:pBdr>
        <w:spacing w:after="240" w:line="240" w:lineRule="auto"/>
        <w:jc w:val="both"/>
        <w:rPr>
          <w:rFonts w:ascii="Calibri" w:eastAsia="Times New Roman" w:hAnsi="Calibri" w:cs="Calibri"/>
          <w:b/>
          <w:sz w:val="24"/>
          <w:szCs w:val="24"/>
          <w:lang w:eastAsia="bg-BG"/>
        </w:rPr>
      </w:pPr>
      <w:r w:rsidRPr="003C4AB6">
        <w:rPr>
          <w:rFonts w:ascii="Calibri" w:eastAsia="Times New Roman" w:hAnsi="Calibri" w:cs="Calibri"/>
          <w:b/>
          <w:sz w:val="24"/>
          <w:szCs w:val="24"/>
          <w:lang w:eastAsia="bg-BG"/>
        </w:rPr>
        <w:t xml:space="preserve">Преди сключване на </w:t>
      </w:r>
      <w:r w:rsidR="00767B69">
        <w:rPr>
          <w:rFonts w:ascii="Calibri" w:eastAsia="Times New Roman" w:hAnsi="Calibri" w:cs="Calibri"/>
          <w:b/>
          <w:sz w:val="24"/>
          <w:szCs w:val="24"/>
          <w:lang w:eastAsia="bg-BG"/>
        </w:rPr>
        <w:t xml:space="preserve">административен </w:t>
      </w:r>
      <w:r w:rsidRPr="003C4AB6">
        <w:rPr>
          <w:rFonts w:ascii="Calibri" w:eastAsia="Times New Roman" w:hAnsi="Calibri" w:cs="Calibri"/>
          <w:b/>
          <w:sz w:val="24"/>
          <w:szCs w:val="24"/>
          <w:lang w:eastAsia="bg-BG"/>
        </w:rPr>
        <w:t>договор, Управляващият орган ще извършва и документална проверка за включени проекти в списъка с одобрените за финансиране проектни предложения/списъка с резервни кандидати за свързани предприятия, осъществяващи сходна дейност.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по точки, което също е включено списъка с одобрени за финансиране проектни предложения/списъка с резервни проектни предложения.</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След представяне на допълнителните разяснения и/или доказателства и проверката им </w:t>
      </w:r>
      <w:r w:rsidR="006878DC" w:rsidRPr="003C4AB6">
        <w:rPr>
          <w:sz w:val="24"/>
          <w:szCs w:val="24"/>
        </w:rPr>
        <w:t xml:space="preserve">Управляващият </w:t>
      </w:r>
      <w:r w:rsidRPr="003C4AB6">
        <w:rPr>
          <w:sz w:val="24"/>
          <w:szCs w:val="24"/>
        </w:rPr>
        <w:t xml:space="preserve">орган преценява дали да бъде сключен </w:t>
      </w:r>
      <w:r w:rsidR="00E32029">
        <w:rPr>
          <w:sz w:val="24"/>
          <w:szCs w:val="24"/>
        </w:rPr>
        <w:t xml:space="preserve">административен </w:t>
      </w:r>
      <w:r w:rsidRPr="003C4AB6">
        <w:rPr>
          <w:sz w:val="24"/>
          <w:szCs w:val="24"/>
        </w:rPr>
        <w:t>договор за безвъзмездна финансова помощ с кандидата или да</w:t>
      </w:r>
      <w:r w:rsidR="00BF2AF5">
        <w:rPr>
          <w:sz w:val="24"/>
          <w:szCs w:val="24"/>
        </w:rPr>
        <w:t xml:space="preserve"> бъде</w:t>
      </w:r>
      <w:r w:rsidRPr="003C4AB6">
        <w:rPr>
          <w:sz w:val="24"/>
          <w:szCs w:val="24"/>
        </w:rPr>
        <w:t xml:space="preserve"> </w:t>
      </w:r>
      <w:r w:rsidR="00BF2AF5">
        <w:rPr>
          <w:sz w:val="24"/>
          <w:szCs w:val="24"/>
          <w:lang w:val="x-none"/>
        </w:rPr>
        <w:t>изд</w:t>
      </w:r>
      <w:r w:rsidR="00BF2AF5">
        <w:rPr>
          <w:sz w:val="24"/>
          <w:szCs w:val="24"/>
        </w:rPr>
        <w:t>адено</w:t>
      </w:r>
      <w:r w:rsidR="00BF2AF5" w:rsidRPr="00BF2AF5">
        <w:rPr>
          <w:sz w:val="24"/>
          <w:szCs w:val="24"/>
          <w:lang w:val="x-none"/>
        </w:rPr>
        <w:t xml:space="preserve"> мотивирано решение, с което </w:t>
      </w:r>
      <w:r w:rsidR="00BF2AF5">
        <w:rPr>
          <w:sz w:val="24"/>
          <w:szCs w:val="24"/>
        </w:rPr>
        <w:t xml:space="preserve">се </w:t>
      </w:r>
      <w:r w:rsidR="00BF2AF5" w:rsidRPr="00BF2AF5">
        <w:rPr>
          <w:sz w:val="24"/>
          <w:szCs w:val="24"/>
          <w:lang w:val="x-none"/>
        </w:rPr>
        <w:t>отказва предоставянето на безвъзмездна финансова помощ</w:t>
      </w:r>
      <w:r w:rsidR="00BF2AF5">
        <w:rPr>
          <w:sz w:val="24"/>
          <w:szCs w:val="24"/>
        </w:rPr>
        <w:t>.</w:t>
      </w:r>
    </w:p>
    <w:p w:rsidR="00BA13AC" w:rsidRPr="003C4AB6" w:rsidRDefault="007120DE"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rFonts w:ascii="Calibri" w:eastAsia="Calibri" w:hAnsi="Calibri" w:cs="Times New Roman"/>
          <w:sz w:val="24"/>
          <w:szCs w:val="24"/>
        </w:rPr>
        <w:t>Административни д</w:t>
      </w:r>
      <w:r w:rsidR="00E90516" w:rsidRPr="00E90516">
        <w:rPr>
          <w:rFonts w:ascii="Calibri" w:eastAsia="Calibri" w:hAnsi="Calibri" w:cs="Times New Roman"/>
          <w:sz w:val="24"/>
          <w:szCs w:val="24"/>
        </w:rPr>
        <w:t>оговори за</w:t>
      </w:r>
      <w:r w:rsidR="006D2164">
        <w:rPr>
          <w:rFonts w:ascii="Calibri" w:eastAsia="Calibri" w:hAnsi="Calibri" w:cs="Times New Roman"/>
          <w:sz w:val="24"/>
          <w:szCs w:val="24"/>
        </w:rPr>
        <w:t xml:space="preserve"> </w:t>
      </w:r>
      <w:r w:rsidR="006D2164" w:rsidRPr="006D2164">
        <w:rPr>
          <w:rFonts w:ascii="Calibri" w:eastAsia="Calibri" w:hAnsi="Calibri" w:cs="Times New Roman"/>
          <w:sz w:val="24"/>
          <w:szCs w:val="24"/>
        </w:rPr>
        <w:t>предоставяне на безвъзмездна финансова помощ се сключват с всички кандидати, които представят липсващите и/или несъответстващите на изискванията документи в рамките на допълнително указания срок, но не по-дълъг от регламентирания в ЗУСЕСИФ</w:t>
      </w:r>
      <w:r w:rsidR="00E90516">
        <w:rPr>
          <w:rFonts w:ascii="Calibri" w:eastAsia="Calibri" w:hAnsi="Calibri" w:cs="Times New Roman"/>
          <w:sz w:val="24"/>
          <w:szCs w:val="24"/>
        </w:rPr>
        <w:t xml:space="preserve">. </w:t>
      </w:r>
      <w:r w:rsidR="00BA13AC" w:rsidRPr="003C4AB6">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договори и се издава мотивирано решение за отказ за предоставяне на безвъзмездна финансова помощ. На тяхно място ще бъдат поканени за договаряне съответният брой кандидати от резервния списък (в случай че такъв е съставен), по </w:t>
      </w:r>
      <w:proofErr w:type="spellStart"/>
      <w:r w:rsidR="00BA13AC" w:rsidRPr="003C4AB6">
        <w:rPr>
          <w:sz w:val="24"/>
          <w:szCs w:val="24"/>
        </w:rPr>
        <w:t>поредността</w:t>
      </w:r>
      <w:proofErr w:type="spellEnd"/>
      <w:r w:rsidR="00BA13AC" w:rsidRPr="003C4AB6">
        <w:rPr>
          <w:sz w:val="24"/>
          <w:szCs w:val="24"/>
        </w:rPr>
        <w:t xml:space="preserve"> на класирането им до изчерпване на общия наличен бюджет по процедурата. </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Когато при извършване на проверката по същество на представените от кандидатите, документи </w:t>
      </w:r>
      <w:r w:rsidR="00AE0D09" w:rsidRPr="003C4AB6">
        <w:rPr>
          <w:sz w:val="24"/>
          <w:szCs w:val="24"/>
        </w:rPr>
        <w:t xml:space="preserve">при </w:t>
      </w:r>
      <w:r w:rsidRPr="003C4AB6">
        <w:rPr>
          <w:sz w:val="24"/>
          <w:szCs w:val="24"/>
        </w:rPr>
        <w:t xml:space="preserve">сключване на </w:t>
      </w:r>
      <w:r w:rsidR="007120DE">
        <w:rPr>
          <w:sz w:val="24"/>
          <w:szCs w:val="24"/>
        </w:rPr>
        <w:t xml:space="preserve">административен </w:t>
      </w:r>
      <w:r w:rsidRPr="003C4AB6">
        <w:rPr>
          <w:sz w:val="24"/>
          <w:szCs w:val="24"/>
        </w:rPr>
        <w:t xml:space="preserve">договор за безвъзмездна помощ, се установи несъответствие между декларирани данни на етап кандидатстване и информацията, посочена в представените документи, </w:t>
      </w:r>
      <w:r w:rsidR="007120DE">
        <w:rPr>
          <w:sz w:val="24"/>
          <w:szCs w:val="24"/>
        </w:rPr>
        <w:t xml:space="preserve">административен </w:t>
      </w:r>
      <w:r w:rsidRPr="003C4AB6">
        <w:rPr>
          <w:sz w:val="24"/>
          <w:szCs w:val="24"/>
        </w:rPr>
        <w:t>договор за безвъзмездна финансова помощ не се сключва, като за договаря</w:t>
      </w:r>
      <w:r w:rsidR="005F5F3D" w:rsidRPr="003C4AB6">
        <w:rPr>
          <w:sz w:val="24"/>
          <w:szCs w:val="24"/>
        </w:rPr>
        <w:t>не ще бъдат поканени съответния брой</w:t>
      </w:r>
      <w:r w:rsidRPr="003C4AB6">
        <w:rPr>
          <w:sz w:val="24"/>
          <w:szCs w:val="24"/>
        </w:rPr>
        <w:t xml:space="preserve"> кандидати от резервния списък (в случай че такъв е съставен), по </w:t>
      </w:r>
      <w:proofErr w:type="spellStart"/>
      <w:r w:rsidRPr="003C4AB6">
        <w:rPr>
          <w:sz w:val="24"/>
          <w:szCs w:val="24"/>
        </w:rPr>
        <w:t>поредността</w:t>
      </w:r>
      <w:proofErr w:type="spellEnd"/>
      <w:r w:rsidRPr="003C4AB6">
        <w:rPr>
          <w:sz w:val="24"/>
          <w:szCs w:val="24"/>
        </w:rPr>
        <w:t xml:space="preserve"> на класирането им в съответната категория предприятие, до изчерпване на общия наличен бюджет по процедурата.  </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Ако кандидат по одобрен за финансиране проект откаже сключване на </w:t>
      </w:r>
      <w:r w:rsidR="002876C1">
        <w:rPr>
          <w:sz w:val="24"/>
          <w:szCs w:val="24"/>
        </w:rPr>
        <w:t>административен</w:t>
      </w:r>
      <w:r w:rsidR="007120DE">
        <w:rPr>
          <w:sz w:val="24"/>
          <w:szCs w:val="24"/>
        </w:rPr>
        <w:t xml:space="preserve"> </w:t>
      </w:r>
      <w:r w:rsidRPr="003C4AB6">
        <w:rPr>
          <w:sz w:val="24"/>
          <w:szCs w:val="24"/>
        </w:rPr>
        <w:t xml:space="preserve">договор за безвъзмездна финансова помощ, се пристъпва към сключване на договор с кандидатите от резервния списък (в случай че такъв е съставен) по </w:t>
      </w:r>
      <w:proofErr w:type="spellStart"/>
      <w:r w:rsidRPr="003C4AB6">
        <w:rPr>
          <w:sz w:val="24"/>
          <w:szCs w:val="24"/>
        </w:rPr>
        <w:t>поредността</w:t>
      </w:r>
      <w:proofErr w:type="spellEnd"/>
      <w:r w:rsidRPr="003C4AB6">
        <w:rPr>
          <w:sz w:val="24"/>
          <w:szCs w:val="24"/>
        </w:rPr>
        <w:t xml:space="preserve"> на класирането им в съответната категория предприятие, до изчерпване на наличния бюджет по процедурата.</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lastRenderedPageBreak/>
        <w:t xml:space="preserve">Ръководителят на Управляващия орган взема мотивирано решение за отказ за предоставяне на безвъзмездна финансова помощ </w:t>
      </w:r>
      <w:r w:rsidR="00B46D3E">
        <w:rPr>
          <w:sz w:val="24"/>
          <w:szCs w:val="24"/>
        </w:rPr>
        <w:t>в следните случаи</w:t>
      </w:r>
      <w:r w:rsidRPr="003C4AB6">
        <w:rPr>
          <w:sz w:val="24"/>
          <w:szCs w:val="24"/>
        </w:rPr>
        <w:t>:</w:t>
      </w:r>
    </w:p>
    <w:p w:rsidR="00537519" w:rsidRPr="00537519" w:rsidRDefault="00537519" w:rsidP="0053751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537519">
        <w:rPr>
          <w:rFonts w:ascii="Calibri" w:eastAsia="Calibri" w:hAnsi="Calibri" w:cs="Times New Roman"/>
          <w:sz w:val="24"/>
          <w:szCs w:val="24"/>
        </w:rPr>
        <w:t xml:space="preserve">- за всяко проектно предложение включено в списъка на предложените </w:t>
      </w:r>
      <w:r w:rsidR="001D77B8">
        <w:rPr>
          <w:rFonts w:ascii="Calibri" w:eastAsia="Calibri" w:hAnsi="Calibri" w:cs="Times New Roman"/>
          <w:sz w:val="24"/>
          <w:szCs w:val="24"/>
        </w:rPr>
        <w:t xml:space="preserve">за отхвърляне </w:t>
      </w:r>
      <w:r w:rsidRPr="00537519">
        <w:rPr>
          <w:rFonts w:ascii="Calibri" w:eastAsia="Calibri" w:hAnsi="Calibri" w:cs="Times New Roman"/>
          <w:sz w:val="24"/>
          <w:szCs w:val="24"/>
        </w:rPr>
        <w:t>проектни предложения и основанието за отхвърлянето им, включен в доклада за работата на оценителната комисия;</w:t>
      </w:r>
    </w:p>
    <w:p w:rsidR="00537519" w:rsidRPr="00537519" w:rsidRDefault="00537519" w:rsidP="0053751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537519">
        <w:rPr>
          <w:rFonts w:ascii="Calibri" w:eastAsia="Calibri" w:hAnsi="Calibri" w:cs="Times New Roman"/>
          <w:sz w:val="24"/>
          <w:szCs w:val="24"/>
        </w:rPr>
        <w:t>-   при несъгласие на кандидата да сключи административен договор;</w:t>
      </w:r>
    </w:p>
    <w:p w:rsidR="00537519" w:rsidRPr="00537519" w:rsidRDefault="00537519" w:rsidP="0053751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537519">
        <w:rPr>
          <w:rFonts w:ascii="Calibri" w:eastAsia="Calibri" w:hAnsi="Calibri" w:cs="Times New Roman"/>
          <w:sz w:val="24"/>
          <w:szCs w:val="24"/>
        </w:rPr>
        <w:t>-   за проектни предложения, при които се предвижда финансиране в нарушение на чл.4, ал.4 на ЗУСЕСИФ;</w:t>
      </w:r>
    </w:p>
    <w:p w:rsidR="001F4FE3" w:rsidRPr="001F4FE3" w:rsidRDefault="001F4FE3" w:rsidP="001F4FE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F4FE3">
        <w:rPr>
          <w:sz w:val="24"/>
          <w:szCs w:val="24"/>
        </w:rPr>
        <w:t>- на кандидат, който не отговаря на изискванията за бенефициент или не е представил в срок доказателства за това;</w:t>
      </w:r>
    </w:p>
    <w:p w:rsidR="00701570" w:rsidRDefault="001F4FE3" w:rsidP="00690C88">
      <w:pPr>
        <w:pBdr>
          <w:top w:val="single" w:sz="4" w:space="1" w:color="auto"/>
          <w:left w:val="single" w:sz="4" w:space="4" w:color="auto"/>
          <w:bottom w:val="single" w:sz="4" w:space="1" w:color="auto"/>
          <w:right w:val="single" w:sz="4" w:space="4" w:color="auto"/>
        </w:pBdr>
        <w:spacing w:after="120"/>
        <w:jc w:val="both"/>
        <w:rPr>
          <w:sz w:val="24"/>
          <w:szCs w:val="24"/>
        </w:rPr>
      </w:pPr>
      <w:r w:rsidRPr="001F4FE3">
        <w:rPr>
          <w:sz w:val="24"/>
          <w:szCs w:val="24"/>
        </w:rPr>
        <w:t xml:space="preserve">- за проектни предложения, при </w:t>
      </w:r>
      <w:r w:rsidRPr="004F3311">
        <w:rPr>
          <w:sz w:val="24"/>
          <w:szCs w:val="24"/>
        </w:rPr>
        <w:t>които държавната помощ е недопустима или се надхвърлят прагът на допустимата държавна помощ или установените в акт на ЕС прагове за минимална помощ.</w:t>
      </w:r>
      <w:r w:rsidR="00690C88">
        <w:rPr>
          <w:sz w:val="24"/>
          <w:szCs w:val="24"/>
        </w:rPr>
        <w:t xml:space="preserve"> </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Преди сключването на </w:t>
      </w:r>
      <w:r w:rsidR="00FF2176">
        <w:rPr>
          <w:sz w:val="24"/>
          <w:szCs w:val="24"/>
        </w:rPr>
        <w:t>административния договор</w:t>
      </w:r>
      <w:r w:rsidRPr="003C4AB6">
        <w:rPr>
          <w:sz w:val="24"/>
          <w:szCs w:val="24"/>
        </w:rPr>
        <w:t xml:space="preserve"> се извършва служебно кръстосана проверка на дейностите, предложени от потенциалните бенефициенти на помощта от ОПИК с оглед избягване на двойно финансиране на дейности.</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За извършване на проверката се използва: </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а) информацията от извършена справка за двойно финансиране в ИСУН 2020;</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б)  информацията, предоставена от кандидата в проектното предложение;</w:t>
      </w:r>
    </w:p>
    <w:p w:rsidR="00BA13AC" w:rsidRPr="003C4AB6"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в) при съмнение за непълна или невярна информация, предоставена от кандидата, </w:t>
      </w:r>
      <w:r w:rsidR="00FD358A" w:rsidRPr="003C4AB6">
        <w:rPr>
          <w:sz w:val="24"/>
          <w:szCs w:val="24"/>
        </w:rPr>
        <w:t xml:space="preserve">се изпраща </w:t>
      </w:r>
      <w:r w:rsidRPr="003C4AB6">
        <w:rPr>
          <w:sz w:val="24"/>
          <w:szCs w:val="24"/>
        </w:rPr>
        <w:t>писмено искане до органа, сключил договор за финансиране на проект със същия кандидат относно предоставяне на допълнителна информация за характера на финансираните дейности;</w:t>
      </w:r>
    </w:p>
    <w:p w:rsidR="00BA13AC" w:rsidRPr="003C4AB6" w:rsidRDefault="00AE54AD"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г) д</w:t>
      </w:r>
      <w:r w:rsidR="00BA13AC" w:rsidRPr="003C4AB6">
        <w:rPr>
          <w:sz w:val="24"/>
          <w:szCs w:val="24"/>
        </w:rPr>
        <w:t>руги способи, които по преценка на екипа по договаряне по процедурата са приложими за проверка за липса на двойно финансиране.</w:t>
      </w:r>
    </w:p>
    <w:p w:rsidR="00BA13AC"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Ако в резултат на извършената проверка, се установи наличие на двойно финансиране на проект или на дейности от проекта, Ръководителят на Управляващия орган взема мотивирано решение за отказ за предоставяне на безвъзмездна финансова помощ. </w:t>
      </w:r>
    </w:p>
    <w:p w:rsidR="002919F8" w:rsidRDefault="00BA13AC" w:rsidP="005100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В случай че към датата на сключване на </w:t>
      </w:r>
      <w:r w:rsidR="00FF2176">
        <w:rPr>
          <w:sz w:val="24"/>
          <w:szCs w:val="24"/>
        </w:rPr>
        <w:t xml:space="preserve">административния </w:t>
      </w:r>
      <w:r w:rsidRPr="003C4AB6">
        <w:rPr>
          <w:sz w:val="24"/>
          <w:szCs w:val="24"/>
        </w:rPr>
        <w:t>договор са настъпили промени в декларираните обстоятелства на етап кандидатстване в Декларацията за обстоятелствата по чл. 3 и чл. 4 от Закона за малките и средните предприятия (Приложение</w:t>
      </w:r>
      <w:r w:rsidR="0021011D" w:rsidRPr="003C4AB6">
        <w:rPr>
          <w:sz w:val="24"/>
          <w:szCs w:val="24"/>
        </w:rPr>
        <w:t xml:space="preserve"> Д</w:t>
      </w:r>
      <w:r w:rsidRPr="003C4AB6">
        <w:rPr>
          <w:sz w:val="24"/>
          <w:szCs w:val="24"/>
        </w:rPr>
        <w:t>), същ</w:t>
      </w:r>
      <w:r w:rsidR="001479E0">
        <w:rPr>
          <w:sz w:val="24"/>
          <w:szCs w:val="24"/>
        </w:rPr>
        <w:t>а</w:t>
      </w:r>
      <w:r w:rsidRPr="003C4AB6">
        <w:rPr>
          <w:sz w:val="24"/>
          <w:szCs w:val="24"/>
        </w:rPr>
        <w:t>т</w:t>
      </w:r>
      <w:r w:rsidR="001479E0">
        <w:rPr>
          <w:sz w:val="24"/>
          <w:szCs w:val="24"/>
        </w:rPr>
        <w:t>а</w:t>
      </w:r>
      <w:r w:rsidRPr="003C4AB6">
        <w:rPr>
          <w:sz w:val="24"/>
          <w:szCs w:val="24"/>
        </w:rPr>
        <w:t xml:space="preserve"> се попълва и представя отново.</w:t>
      </w:r>
      <w:r w:rsidR="00291FD4" w:rsidRPr="003C4AB6">
        <w:rPr>
          <w:sz w:val="24"/>
          <w:szCs w:val="24"/>
        </w:rPr>
        <w:t xml:space="preserve"> </w:t>
      </w:r>
    </w:p>
    <w:p w:rsidR="00C2074B" w:rsidRPr="00C2074B" w:rsidRDefault="00C2074B" w:rsidP="00C2074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2074B">
        <w:rPr>
          <w:sz w:val="24"/>
          <w:szCs w:val="24"/>
        </w:rPr>
        <w:t>В случай че на етап договаряне при проверката по същество на декларираните данни се установи надвишаване на прага за минимални помощи за едно и също предприятие, се издава решение за отказ за предоставяне на безвъзмездна финансова помощ.</w:t>
      </w:r>
    </w:p>
    <w:p w:rsidR="00DD3461" w:rsidRDefault="00DD3461" w:rsidP="00DD346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C4AB6">
        <w:rPr>
          <w:rFonts w:ascii="Calibri" w:eastAsia="Calibri" w:hAnsi="Calibri" w:cs="Times New Roman"/>
          <w:sz w:val="24"/>
          <w:szCs w:val="24"/>
        </w:rPr>
        <w:t xml:space="preserve">При подписване на </w:t>
      </w:r>
      <w:r w:rsidR="00960E32">
        <w:rPr>
          <w:rFonts w:ascii="Calibri" w:eastAsia="Calibri" w:hAnsi="Calibri" w:cs="Times New Roman"/>
          <w:sz w:val="24"/>
          <w:szCs w:val="24"/>
        </w:rPr>
        <w:t xml:space="preserve">административен </w:t>
      </w:r>
      <w:r w:rsidRPr="003C4AB6">
        <w:rPr>
          <w:rFonts w:ascii="Calibri" w:eastAsia="Calibri" w:hAnsi="Calibri" w:cs="Times New Roman"/>
          <w:sz w:val="24"/>
          <w:szCs w:val="24"/>
        </w:rPr>
        <w:t xml:space="preserve">договор за безвъзмездна финансова помощ, бенефициентът подписва </w:t>
      </w:r>
      <w:r w:rsidRPr="00BC39D4">
        <w:rPr>
          <w:rFonts w:ascii="Calibri" w:eastAsia="Calibri" w:hAnsi="Calibri" w:cs="Times New Roman"/>
          <w:sz w:val="24"/>
          <w:szCs w:val="24"/>
        </w:rPr>
        <w:t xml:space="preserve">Декларацията по чл. 9, ал. 8, т. 1 на ПМС № 107/10.05.2014  </w:t>
      </w:r>
      <w:r w:rsidR="00BC39D4" w:rsidRPr="00BC39D4">
        <w:rPr>
          <w:rFonts w:ascii="Calibri" w:eastAsia="Calibri" w:hAnsi="Calibri" w:cs="Times New Roman"/>
          <w:sz w:val="24"/>
          <w:szCs w:val="24"/>
        </w:rPr>
        <w:t xml:space="preserve">и </w:t>
      </w:r>
      <w:r w:rsidR="008D1910" w:rsidRPr="00BC39D4">
        <w:rPr>
          <w:rFonts w:ascii="Calibri" w:eastAsia="Calibri" w:hAnsi="Calibri" w:cs="Times New Roman"/>
          <w:sz w:val="24"/>
          <w:szCs w:val="24"/>
        </w:rPr>
        <w:t>чл. 25, ал. 2 от Закона за управление на средствата от европейските структурни</w:t>
      </w:r>
      <w:r w:rsidR="008D1910" w:rsidRPr="008D1910">
        <w:rPr>
          <w:rFonts w:ascii="Calibri" w:eastAsia="Calibri" w:hAnsi="Calibri" w:cs="Times New Roman"/>
          <w:sz w:val="24"/>
          <w:szCs w:val="24"/>
        </w:rPr>
        <w:t xml:space="preserve"> и </w:t>
      </w:r>
      <w:r w:rsidR="008D1910" w:rsidRPr="008D1910">
        <w:rPr>
          <w:rFonts w:ascii="Calibri" w:eastAsia="Calibri" w:hAnsi="Calibri" w:cs="Times New Roman"/>
          <w:sz w:val="24"/>
          <w:szCs w:val="24"/>
        </w:rPr>
        <w:lastRenderedPageBreak/>
        <w:t xml:space="preserve">инвестиционни фондове </w:t>
      </w:r>
      <w:r w:rsidR="00BC39D4" w:rsidRPr="00BC39D4">
        <w:rPr>
          <w:rFonts w:ascii="Calibri" w:eastAsia="Calibri" w:hAnsi="Calibri" w:cs="Times New Roman"/>
          <w:sz w:val="24"/>
          <w:szCs w:val="24"/>
        </w:rPr>
        <w:t>(Приложение В)</w:t>
      </w:r>
      <w:r w:rsidR="008D1910">
        <w:rPr>
          <w:rFonts w:ascii="Calibri" w:eastAsia="Calibri" w:hAnsi="Calibri" w:cs="Times New Roman"/>
          <w:sz w:val="24"/>
          <w:szCs w:val="24"/>
        </w:rPr>
        <w:t>,</w:t>
      </w:r>
      <w:r w:rsidR="008D1910" w:rsidRPr="008D1910">
        <w:rPr>
          <w:rFonts w:ascii="Calibri" w:eastAsia="Calibri" w:hAnsi="Calibri" w:cs="Times New Roman"/>
          <w:sz w:val="24"/>
          <w:szCs w:val="24"/>
        </w:rPr>
        <w:t xml:space="preserve"> </w:t>
      </w:r>
      <w:r w:rsidR="001479E0" w:rsidRPr="003C4AB6">
        <w:rPr>
          <w:sz w:val="24"/>
          <w:szCs w:val="24"/>
        </w:rPr>
        <w:t>Декларацията за минимални помощи (Приложение Г)</w:t>
      </w:r>
      <w:r w:rsidR="001479E0">
        <w:rPr>
          <w:sz w:val="24"/>
          <w:szCs w:val="24"/>
        </w:rPr>
        <w:t xml:space="preserve">, </w:t>
      </w:r>
      <w:r w:rsidRPr="003C4AB6">
        <w:rPr>
          <w:rFonts w:ascii="Calibri" w:eastAsia="Calibri" w:hAnsi="Calibri" w:cs="Times New Roman"/>
          <w:sz w:val="24"/>
          <w:szCs w:val="24"/>
        </w:rPr>
        <w:t>Декларация за ненарушаване на чужди права върху интелек</w:t>
      </w:r>
      <w:r w:rsidR="00CA7CC1" w:rsidRPr="003C4AB6">
        <w:rPr>
          <w:rFonts w:ascii="Calibri" w:eastAsia="Calibri" w:hAnsi="Calibri" w:cs="Times New Roman"/>
          <w:sz w:val="24"/>
          <w:szCs w:val="24"/>
        </w:rPr>
        <w:t>туална собственост (Приложение Е</w:t>
      </w:r>
      <w:r w:rsidRPr="003C4AB6">
        <w:rPr>
          <w:rFonts w:ascii="Calibri" w:eastAsia="Calibri" w:hAnsi="Calibri" w:cs="Times New Roman"/>
          <w:sz w:val="24"/>
          <w:szCs w:val="24"/>
        </w:rPr>
        <w:t>)</w:t>
      </w:r>
      <w:r w:rsidRPr="003C4AB6">
        <w:rPr>
          <w:rFonts w:ascii="Calibri" w:eastAsia="Calibri" w:hAnsi="Calibri" w:cs="Times New Roman"/>
          <w:sz w:val="24"/>
          <w:szCs w:val="24"/>
          <w:vertAlign w:val="superscript"/>
        </w:rPr>
        <w:footnoteReference w:id="29"/>
      </w:r>
      <w:r w:rsidRPr="003C4AB6">
        <w:rPr>
          <w:rFonts w:ascii="Calibri" w:eastAsia="Calibri" w:hAnsi="Calibri" w:cs="Times New Roman"/>
          <w:sz w:val="24"/>
          <w:szCs w:val="24"/>
        </w:rPr>
        <w:t>, Декларация за нередности (Приложение М</w:t>
      </w:r>
      <w:r w:rsidR="000973AD">
        <w:rPr>
          <w:rFonts w:ascii="Calibri" w:eastAsia="Calibri" w:hAnsi="Calibri" w:cs="Times New Roman"/>
          <w:sz w:val="24"/>
          <w:szCs w:val="24"/>
        </w:rPr>
        <w:t xml:space="preserve"> към Условията за изпълнение</w:t>
      </w:r>
      <w:r w:rsidRPr="003C4AB6">
        <w:rPr>
          <w:rFonts w:ascii="Calibri" w:eastAsia="Calibri" w:hAnsi="Calibri" w:cs="Times New Roman"/>
          <w:sz w:val="24"/>
          <w:szCs w:val="24"/>
        </w:rPr>
        <w:t>) и Декларацията за съгласие данните на кандидата да бъдат предоставени от НСИ на УО по служебен път (Приложение И</w:t>
      </w:r>
      <w:r w:rsidR="00F90B02">
        <w:rPr>
          <w:rFonts w:ascii="Calibri" w:eastAsia="Calibri" w:hAnsi="Calibri" w:cs="Times New Roman"/>
          <w:sz w:val="24"/>
          <w:szCs w:val="24"/>
        </w:rPr>
        <w:t xml:space="preserve"> към Условията за изпълнение</w:t>
      </w:r>
      <w:r w:rsidRPr="003C4AB6">
        <w:rPr>
          <w:rFonts w:ascii="Calibri" w:eastAsia="Calibri" w:hAnsi="Calibri" w:cs="Times New Roman"/>
          <w:sz w:val="24"/>
          <w:szCs w:val="24"/>
        </w:rPr>
        <w:t xml:space="preserve">) – представят се в оригинал, попълнени по образец и стават приложение към </w:t>
      </w:r>
      <w:r w:rsidR="002876C1">
        <w:rPr>
          <w:rFonts w:ascii="Calibri" w:eastAsia="Calibri" w:hAnsi="Calibri" w:cs="Times New Roman"/>
          <w:sz w:val="24"/>
          <w:szCs w:val="24"/>
        </w:rPr>
        <w:t>Административния д</w:t>
      </w:r>
      <w:r w:rsidRPr="003C4AB6">
        <w:rPr>
          <w:rFonts w:ascii="Calibri" w:eastAsia="Calibri" w:hAnsi="Calibri" w:cs="Times New Roman"/>
          <w:sz w:val="24"/>
          <w:szCs w:val="24"/>
        </w:rPr>
        <w:t>оговор за безвъзмездна финансова помощ.</w:t>
      </w:r>
    </w:p>
    <w:p w:rsidR="00B54168" w:rsidRPr="003C4AB6" w:rsidRDefault="00496455" w:rsidP="00B5416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sz w:val="24"/>
          <w:szCs w:val="24"/>
        </w:rPr>
        <w:t>У</w:t>
      </w:r>
      <w:r w:rsidRPr="00496455">
        <w:rPr>
          <w:rFonts w:ascii="Calibri" w:eastAsia="Calibri" w:hAnsi="Calibri" w:cs="Times New Roman"/>
          <w:sz w:val="24"/>
          <w:szCs w:val="24"/>
        </w:rPr>
        <w:t>ведомяване</w:t>
      </w:r>
      <w:r>
        <w:rPr>
          <w:rFonts w:ascii="Calibri" w:eastAsia="Calibri" w:hAnsi="Calibri" w:cs="Times New Roman"/>
          <w:sz w:val="24"/>
          <w:szCs w:val="24"/>
        </w:rPr>
        <w:t>то</w:t>
      </w:r>
      <w:r w:rsidRPr="00496455">
        <w:rPr>
          <w:rFonts w:ascii="Calibri" w:eastAsia="Calibri" w:hAnsi="Calibri" w:cs="Times New Roman"/>
          <w:sz w:val="24"/>
          <w:szCs w:val="24"/>
        </w:rPr>
        <w:t xml:space="preserve"> на неу</w:t>
      </w:r>
      <w:r>
        <w:rPr>
          <w:rFonts w:ascii="Calibri" w:eastAsia="Calibri" w:hAnsi="Calibri" w:cs="Times New Roman"/>
          <w:sz w:val="24"/>
          <w:szCs w:val="24"/>
        </w:rPr>
        <w:t>спелите и одобрените кандидати за</w:t>
      </w:r>
      <w:r w:rsidRPr="00496455">
        <w:rPr>
          <w:rFonts w:ascii="Calibri" w:eastAsia="Calibri" w:hAnsi="Calibri" w:cs="Times New Roman"/>
          <w:sz w:val="24"/>
          <w:szCs w:val="24"/>
        </w:rPr>
        <w:t xml:space="preserve"> сключване на </w:t>
      </w:r>
      <w:r w:rsidR="002876C1">
        <w:rPr>
          <w:rFonts w:ascii="Calibri" w:eastAsia="Calibri" w:hAnsi="Calibri" w:cs="Times New Roman"/>
          <w:sz w:val="24"/>
          <w:szCs w:val="24"/>
        </w:rPr>
        <w:t xml:space="preserve">административни </w:t>
      </w:r>
      <w:r w:rsidRPr="00496455">
        <w:rPr>
          <w:rFonts w:ascii="Calibri" w:eastAsia="Calibri" w:hAnsi="Calibri" w:cs="Times New Roman"/>
          <w:sz w:val="24"/>
          <w:szCs w:val="24"/>
        </w:rPr>
        <w:t>договори за безвъзмездна финансова помощ</w:t>
      </w:r>
      <w:r>
        <w:rPr>
          <w:rFonts w:ascii="Calibri" w:eastAsia="Calibri" w:hAnsi="Calibri" w:cs="Times New Roman"/>
          <w:sz w:val="24"/>
          <w:szCs w:val="24"/>
        </w:rPr>
        <w:t xml:space="preserve"> </w:t>
      </w:r>
      <w:r w:rsidR="00A3203E" w:rsidRPr="00A3203E">
        <w:rPr>
          <w:rFonts w:ascii="Calibri" w:eastAsia="Calibri" w:hAnsi="Calibri" w:cs="Times New Roman"/>
          <w:sz w:val="24"/>
          <w:szCs w:val="24"/>
        </w:rPr>
        <w:t xml:space="preserve">се </w:t>
      </w:r>
      <w:r>
        <w:rPr>
          <w:rFonts w:ascii="Calibri" w:eastAsia="Calibri" w:hAnsi="Calibri" w:cs="Times New Roman"/>
          <w:sz w:val="24"/>
          <w:szCs w:val="24"/>
        </w:rPr>
        <w:t xml:space="preserve">извършва </w:t>
      </w:r>
      <w:r w:rsidR="00A3203E" w:rsidRPr="00A3203E">
        <w:rPr>
          <w:rFonts w:ascii="Calibri" w:eastAsia="Calibri" w:hAnsi="Calibri" w:cs="Times New Roman"/>
          <w:sz w:val="24"/>
          <w:szCs w:val="24"/>
        </w:rPr>
        <w:t>само и единствено чрез ИСУН.</w:t>
      </w:r>
      <w:r w:rsidR="000A6AF4">
        <w:rPr>
          <w:rFonts w:ascii="Calibri" w:eastAsia="Calibri" w:hAnsi="Calibri" w:cs="Times New Roman"/>
          <w:sz w:val="24"/>
          <w:szCs w:val="24"/>
        </w:rPr>
        <w:t xml:space="preserve"> </w:t>
      </w:r>
      <w:r w:rsidR="00B54168" w:rsidRPr="00B54168">
        <w:rPr>
          <w:rFonts w:ascii="Calibri" w:eastAsia="Calibri" w:hAnsi="Calibri" w:cs="Times New Roman"/>
          <w:sz w:val="24"/>
          <w:szCs w:val="24"/>
        </w:rPr>
        <w:t>Управляв</w:t>
      </w:r>
      <w:r w:rsidR="00B54168">
        <w:rPr>
          <w:rFonts w:ascii="Calibri" w:eastAsia="Calibri" w:hAnsi="Calibri" w:cs="Times New Roman"/>
          <w:sz w:val="24"/>
          <w:szCs w:val="24"/>
        </w:rPr>
        <w:t xml:space="preserve">ащият орган не носи отговорност </w:t>
      </w:r>
      <w:r w:rsidR="00B54168" w:rsidRPr="00B54168">
        <w:rPr>
          <w:rFonts w:ascii="Calibri" w:eastAsia="Calibri" w:hAnsi="Calibri" w:cs="Times New Roman"/>
          <w:sz w:val="24"/>
          <w:szCs w:val="24"/>
        </w:rPr>
        <w:t>ако поради грешни и/или непълни данни за кореспонденция, предоставени от самите кандидати, те не получават кореспо</w:t>
      </w:r>
      <w:r w:rsidR="000A6AF4">
        <w:rPr>
          <w:rFonts w:ascii="Calibri" w:eastAsia="Calibri" w:hAnsi="Calibri" w:cs="Times New Roman"/>
          <w:sz w:val="24"/>
          <w:szCs w:val="24"/>
        </w:rPr>
        <w:t>нденцията с Управляващия орган</w:t>
      </w:r>
      <w:r w:rsidR="00B54168" w:rsidRPr="00B54168">
        <w:rPr>
          <w:rFonts w:ascii="Calibri" w:eastAsia="Calibri" w:hAnsi="Calibri" w:cs="Times New Roman"/>
          <w:sz w:val="24"/>
          <w:szCs w:val="24"/>
        </w:rPr>
        <w:t>.</w:t>
      </w:r>
    </w:p>
    <w:p w:rsidR="00D0624A" w:rsidRPr="003C4AB6" w:rsidRDefault="00D0624A" w:rsidP="00EB203A">
      <w:pPr>
        <w:pBdr>
          <w:top w:val="single" w:sz="4" w:space="1" w:color="auto"/>
          <w:left w:val="single" w:sz="4" w:space="4" w:color="auto"/>
          <w:bottom w:val="single" w:sz="4" w:space="1" w:color="auto"/>
          <w:right w:val="single" w:sz="4" w:space="4" w:color="auto"/>
        </w:pBdr>
        <w:spacing w:after="120" w:line="240" w:lineRule="auto"/>
        <w:jc w:val="both"/>
      </w:pPr>
      <w:r w:rsidRPr="003C4AB6">
        <w:rPr>
          <w:rFonts w:ascii="Calibri" w:eastAsia="Calibri" w:hAnsi="Calibri" w:cs="Times New Roman"/>
          <w:sz w:val="24"/>
          <w:szCs w:val="24"/>
        </w:rPr>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ОПИК и/или от бенефициентите на безвъзмездна финансова помощ по ОПИК, които при изпълнение на договор, сключен по проект финансиран от Европейския фонд за регионално развитие, предоставят невярна и /или подвеждаща информация за вписване в регистъра и проверка.</w:t>
      </w:r>
    </w:p>
    <w:p w:rsidR="006A2DB8" w:rsidRPr="003C4AB6" w:rsidRDefault="00CB14EE" w:rsidP="00285DA1">
      <w:pPr>
        <w:pStyle w:val="Heading2"/>
        <w:spacing w:after="120"/>
      </w:pPr>
      <w:bookmarkStart w:id="38" w:name="_Toc442298741"/>
      <w:r w:rsidRPr="003C4AB6">
        <w:t>2</w:t>
      </w:r>
      <w:r w:rsidR="00BE5C79">
        <w:t>8</w:t>
      </w:r>
      <w:r w:rsidR="006A2DB8" w:rsidRPr="003C4AB6">
        <w:t xml:space="preserve">. Приложения към </w:t>
      </w:r>
      <w:r w:rsidR="00BE5C79">
        <w:t>Условията</w:t>
      </w:r>
      <w:r w:rsidR="00BE5C79" w:rsidRPr="003C4AB6">
        <w:t xml:space="preserve"> </w:t>
      </w:r>
      <w:r w:rsidR="006A2DB8" w:rsidRPr="003C4AB6">
        <w:t>за кандидатстване:</w:t>
      </w:r>
      <w:bookmarkEnd w:id="38"/>
    </w:p>
    <w:p w:rsidR="000C6FB3" w:rsidRPr="003C4AB6" w:rsidRDefault="005B19D0"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color w:val="FF0000"/>
          <w:sz w:val="24"/>
          <w:szCs w:val="24"/>
        </w:rPr>
      </w:pPr>
      <w:r w:rsidRPr="003C4AB6">
        <w:rPr>
          <w:sz w:val="24"/>
          <w:szCs w:val="24"/>
        </w:rPr>
        <w:t xml:space="preserve">Указания за попълване на </w:t>
      </w:r>
      <w:r w:rsidR="00E948B5" w:rsidRPr="003C4AB6">
        <w:rPr>
          <w:sz w:val="24"/>
          <w:szCs w:val="24"/>
        </w:rPr>
        <w:t>електронен Ф</w:t>
      </w:r>
      <w:r w:rsidRPr="003C4AB6">
        <w:rPr>
          <w:sz w:val="24"/>
          <w:szCs w:val="24"/>
        </w:rPr>
        <w:t xml:space="preserve">ормуляр за кандидатстване </w:t>
      </w:r>
      <w:r w:rsidR="00EB2279" w:rsidRPr="003C4AB6">
        <w:rPr>
          <w:sz w:val="24"/>
          <w:szCs w:val="24"/>
        </w:rPr>
        <w:t>– Приложение А</w:t>
      </w:r>
      <w:r w:rsidRPr="003C4AB6">
        <w:rPr>
          <w:sz w:val="24"/>
          <w:szCs w:val="24"/>
        </w:rPr>
        <w:t>;</w:t>
      </w:r>
    </w:p>
    <w:p w:rsidR="00AE2477" w:rsidRPr="003C4AB6" w:rsidRDefault="00AE2477" w:rsidP="000E0A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Декларация, че кандидатът е запознат с условията за кандидатстване</w:t>
      </w:r>
      <w:r w:rsidR="00171B8A">
        <w:rPr>
          <w:sz w:val="24"/>
          <w:szCs w:val="24"/>
          <w:lang w:val="en-US"/>
        </w:rPr>
        <w:t xml:space="preserve"> </w:t>
      </w:r>
      <w:r w:rsidR="00171B8A">
        <w:rPr>
          <w:sz w:val="24"/>
          <w:szCs w:val="24"/>
        </w:rPr>
        <w:t>и условията за изпълнение</w:t>
      </w:r>
      <w:r w:rsidR="007E490F" w:rsidRPr="003C4AB6">
        <w:rPr>
          <w:sz w:val="24"/>
          <w:szCs w:val="24"/>
        </w:rPr>
        <w:t xml:space="preserve"> – Приложение </w:t>
      </w:r>
      <w:r w:rsidR="009F3225" w:rsidRPr="003C4AB6">
        <w:rPr>
          <w:sz w:val="24"/>
          <w:szCs w:val="24"/>
        </w:rPr>
        <w:t>Б</w:t>
      </w:r>
      <w:r w:rsidRPr="003C4AB6">
        <w:rPr>
          <w:sz w:val="24"/>
          <w:szCs w:val="24"/>
        </w:rPr>
        <w:t>.</w:t>
      </w: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36E23">
        <w:rPr>
          <w:sz w:val="24"/>
          <w:szCs w:val="24"/>
        </w:rPr>
        <w:t xml:space="preserve">Декларация по чл. 9, ал. </w:t>
      </w:r>
      <w:r w:rsidR="00A34A74" w:rsidRPr="00E36E23">
        <w:rPr>
          <w:sz w:val="24"/>
          <w:szCs w:val="24"/>
        </w:rPr>
        <w:t>8, т. 1 на ПМС</w:t>
      </w:r>
      <w:r w:rsidR="009F3225" w:rsidRPr="00E36E23">
        <w:rPr>
          <w:sz w:val="24"/>
          <w:szCs w:val="24"/>
        </w:rPr>
        <w:t xml:space="preserve"> № 107/10.05.2014 </w:t>
      </w:r>
      <w:r w:rsidR="00866746" w:rsidRPr="00E36E23">
        <w:rPr>
          <w:sz w:val="24"/>
          <w:szCs w:val="24"/>
        </w:rPr>
        <w:t xml:space="preserve">и чл. 25, ал. 2 от Закона за управление на средствата от европейските структурни и инвестиционни фондове </w:t>
      </w:r>
      <w:r w:rsidR="009F3225" w:rsidRPr="00E36E23">
        <w:rPr>
          <w:sz w:val="24"/>
          <w:szCs w:val="24"/>
        </w:rPr>
        <w:t>– Приложение В</w:t>
      </w:r>
      <w:r w:rsidR="00A34A74" w:rsidRPr="00E36E23">
        <w:rPr>
          <w:sz w:val="24"/>
          <w:szCs w:val="24"/>
        </w:rPr>
        <w:t>;</w:t>
      </w: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Декл</w:t>
      </w:r>
      <w:r w:rsidR="009F3225" w:rsidRPr="003C4AB6">
        <w:rPr>
          <w:sz w:val="24"/>
          <w:szCs w:val="24"/>
        </w:rPr>
        <w:t xml:space="preserve">арация за </w:t>
      </w:r>
      <w:r w:rsidR="0034277A" w:rsidRPr="003C4AB6">
        <w:rPr>
          <w:sz w:val="24"/>
          <w:szCs w:val="24"/>
        </w:rPr>
        <w:t>минимални</w:t>
      </w:r>
      <w:r w:rsidR="009F3225" w:rsidRPr="003C4AB6">
        <w:rPr>
          <w:sz w:val="24"/>
          <w:szCs w:val="24"/>
        </w:rPr>
        <w:t xml:space="preserve"> помощи – Приложение Г</w:t>
      </w:r>
      <w:r w:rsidRPr="003C4AB6">
        <w:rPr>
          <w:sz w:val="24"/>
          <w:szCs w:val="24"/>
        </w:rPr>
        <w:t>.</w:t>
      </w: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14F69" w:rsidRPr="003C4AB6" w:rsidRDefault="00814F69"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Декларация за обстоятелствата по чл. 3 и чл. 4 от Закона за малките и сре</w:t>
      </w:r>
      <w:r w:rsidR="00A34A74" w:rsidRPr="003C4AB6">
        <w:rPr>
          <w:sz w:val="24"/>
          <w:szCs w:val="24"/>
        </w:rPr>
        <w:t>дните</w:t>
      </w:r>
      <w:r w:rsidR="00F954BF" w:rsidRPr="003C4AB6">
        <w:rPr>
          <w:sz w:val="24"/>
          <w:szCs w:val="24"/>
        </w:rPr>
        <w:t xml:space="preserve"> предприятия - Приложение Д</w:t>
      </w:r>
      <w:r w:rsidRPr="003C4AB6">
        <w:rPr>
          <w:sz w:val="24"/>
          <w:szCs w:val="24"/>
        </w:rPr>
        <w:t>.</w:t>
      </w:r>
    </w:p>
    <w:p w:rsidR="000A54EB" w:rsidRPr="003C4AB6" w:rsidRDefault="000A54EB"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14F69" w:rsidRPr="003C4AB6" w:rsidRDefault="000A54EB"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Декларация за ненарушаване на чужди права въ</w:t>
      </w:r>
      <w:r w:rsidR="009F3225" w:rsidRPr="003C4AB6">
        <w:rPr>
          <w:sz w:val="24"/>
          <w:szCs w:val="24"/>
        </w:rPr>
        <w:t xml:space="preserve">рху интелектуална собственост - </w:t>
      </w:r>
      <w:r w:rsidRPr="003C4AB6">
        <w:rPr>
          <w:sz w:val="24"/>
          <w:szCs w:val="24"/>
        </w:rPr>
        <w:t xml:space="preserve">Приложение </w:t>
      </w:r>
      <w:r w:rsidR="009F3225" w:rsidRPr="003C4AB6">
        <w:rPr>
          <w:sz w:val="24"/>
          <w:szCs w:val="24"/>
        </w:rPr>
        <w:t>Е</w:t>
      </w:r>
      <w:r w:rsidR="009A00E9" w:rsidRPr="003C4AB6">
        <w:rPr>
          <w:sz w:val="24"/>
          <w:szCs w:val="24"/>
          <w:lang w:val="en-US"/>
        </w:rPr>
        <w:t>.</w:t>
      </w:r>
    </w:p>
    <w:p w:rsidR="00C81D37" w:rsidRPr="003C4AB6" w:rsidRDefault="00C81D37"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867D55" w:rsidRPr="003C4AB6" w:rsidRDefault="00867D55" w:rsidP="00867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Техническа спецификация на предвидените за закупуване ДМА и ДНА - Приложение Ж.</w:t>
      </w:r>
    </w:p>
    <w:p w:rsidR="009F3225" w:rsidRPr="003C4AB6" w:rsidRDefault="009F3225"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C81D37" w:rsidRPr="003C4AB6" w:rsidRDefault="009501B4"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Сравнителен анализ на </w:t>
      </w:r>
      <w:r w:rsidR="00D16544" w:rsidRPr="003C4AB6">
        <w:rPr>
          <w:sz w:val="24"/>
          <w:szCs w:val="24"/>
        </w:rPr>
        <w:t>разработваната</w:t>
      </w:r>
      <w:r w:rsidRPr="003C4AB6">
        <w:rPr>
          <w:sz w:val="24"/>
          <w:szCs w:val="24"/>
        </w:rPr>
        <w:t xml:space="preserve"> иновация </w:t>
      </w:r>
      <w:r w:rsidR="000B5EE5" w:rsidRPr="003C4AB6">
        <w:rPr>
          <w:sz w:val="24"/>
          <w:szCs w:val="24"/>
        </w:rPr>
        <w:t>–</w:t>
      </w:r>
      <w:r w:rsidRPr="003C4AB6">
        <w:rPr>
          <w:sz w:val="24"/>
          <w:szCs w:val="24"/>
        </w:rPr>
        <w:t xml:space="preserve"> Приложение</w:t>
      </w:r>
      <w:r w:rsidR="000B5EE5" w:rsidRPr="003C4AB6">
        <w:rPr>
          <w:sz w:val="24"/>
          <w:szCs w:val="24"/>
        </w:rPr>
        <w:t xml:space="preserve"> З.</w:t>
      </w:r>
    </w:p>
    <w:p w:rsidR="00B73102" w:rsidRPr="003C4AB6" w:rsidRDefault="00B73102" w:rsidP="002A40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3D3794" w:rsidRPr="003C4AB6" w:rsidRDefault="003D3794" w:rsidP="003D379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Критерии  и методология  за оценка на проектните предложения – Приложен</w:t>
      </w:r>
      <w:r w:rsidR="00B76478" w:rsidRPr="003C4AB6">
        <w:rPr>
          <w:sz w:val="24"/>
          <w:szCs w:val="24"/>
        </w:rPr>
        <w:t xml:space="preserve">ие </w:t>
      </w:r>
      <w:r w:rsidR="000B5EE5" w:rsidRPr="003C4AB6">
        <w:rPr>
          <w:sz w:val="24"/>
          <w:szCs w:val="24"/>
        </w:rPr>
        <w:t>Й</w:t>
      </w:r>
      <w:r w:rsidRPr="003C4AB6">
        <w:rPr>
          <w:sz w:val="24"/>
          <w:szCs w:val="24"/>
        </w:rPr>
        <w:t>;</w:t>
      </w:r>
    </w:p>
    <w:p w:rsidR="00175D15" w:rsidRPr="003C4AB6" w:rsidRDefault="00175D1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75D15" w:rsidRPr="003C4AB6" w:rsidRDefault="003D3794"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Приложение I към Договора за </w:t>
      </w:r>
      <w:proofErr w:type="spellStart"/>
      <w:r w:rsidR="003D7566" w:rsidRPr="003D7566">
        <w:rPr>
          <w:sz w:val="24"/>
          <w:szCs w:val="24"/>
        </w:rPr>
        <w:t>за</w:t>
      </w:r>
      <w:proofErr w:type="spellEnd"/>
      <w:r w:rsidR="003D7566" w:rsidRPr="003D7566">
        <w:rPr>
          <w:sz w:val="24"/>
          <w:szCs w:val="24"/>
        </w:rPr>
        <w:t xml:space="preserve"> създаване на европейската общност</w:t>
      </w:r>
      <w:r w:rsidRPr="003C4AB6">
        <w:rPr>
          <w:sz w:val="24"/>
          <w:szCs w:val="24"/>
        </w:rPr>
        <w:t xml:space="preserve"> – Приложение </w:t>
      </w:r>
      <w:r w:rsidR="008F4DE0">
        <w:rPr>
          <w:sz w:val="24"/>
          <w:szCs w:val="24"/>
        </w:rPr>
        <w:t>О</w:t>
      </w:r>
      <w:r w:rsidR="00175D15" w:rsidRPr="003C4AB6">
        <w:rPr>
          <w:sz w:val="24"/>
          <w:szCs w:val="24"/>
        </w:rPr>
        <w:t>;</w:t>
      </w:r>
    </w:p>
    <w:p w:rsidR="00175D15" w:rsidRPr="003C4AB6" w:rsidRDefault="00175D1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75D15" w:rsidRPr="003C4AB6" w:rsidRDefault="00B56F5C"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Списък на селските райони</w:t>
      </w:r>
      <w:r w:rsidR="00863E83" w:rsidRPr="003C4AB6">
        <w:rPr>
          <w:sz w:val="24"/>
          <w:szCs w:val="24"/>
        </w:rPr>
        <w:t xml:space="preserve"> и общините, попадащи в тях</w:t>
      </w:r>
      <w:r w:rsidR="003D3794" w:rsidRPr="003C4AB6">
        <w:rPr>
          <w:sz w:val="24"/>
          <w:szCs w:val="24"/>
        </w:rPr>
        <w:t xml:space="preserve"> - Приложение </w:t>
      </w:r>
      <w:r w:rsidR="008F4DE0">
        <w:rPr>
          <w:sz w:val="24"/>
          <w:szCs w:val="24"/>
        </w:rPr>
        <w:t>П</w:t>
      </w:r>
      <w:r w:rsidR="00C1148A" w:rsidRPr="003C4AB6">
        <w:rPr>
          <w:sz w:val="24"/>
          <w:szCs w:val="24"/>
        </w:rPr>
        <w:t>;</w:t>
      </w:r>
    </w:p>
    <w:p w:rsidR="00175D15" w:rsidRPr="003C4AB6" w:rsidRDefault="00175D1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75D15" w:rsidRPr="003C4AB6" w:rsidRDefault="003D3794"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Класификатор на икономическите дейности /КИД - 2008/ – Приложение </w:t>
      </w:r>
      <w:r w:rsidR="008F4DE0">
        <w:rPr>
          <w:sz w:val="24"/>
          <w:szCs w:val="24"/>
        </w:rPr>
        <w:t>Р</w:t>
      </w:r>
      <w:r w:rsidR="00175D15" w:rsidRPr="003C4AB6">
        <w:rPr>
          <w:sz w:val="24"/>
          <w:szCs w:val="24"/>
        </w:rPr>
        <w:t>;</w:t>
      </w:r>
    </w:p>
    <w:p w:rsidR="00175D15" w:rsidRPr="003C4AB6" w:rsidRDefault="00175D1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75D15" w:rsidRPr="003C4AB6" w:rsidRDefault="00C1576A"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Списък с районите за планир</w:t>
      </w:r>
      <w:r w:rsidR="00D259AB" w:rsidRPr="003C4AB6">
        <w:rPr>
          <w:sz w:val="24"/>
          <w:szCs w:val="24"/>
        </w:rPr>
        <w:t xml:space="preserve">ане и областите, попадащи в тях – Приложение </w:t>
      </w:r>
      <w:r w:rsidR="008F4DE0">
        <w:rPr>
          <w:sz w:val="24"/>
          <w:szCs w:val="24"/>
        </w:rPr>
        <w:t>С</w:t>
      </w:r>
      <w:r w:rsidR="00594D26" w:rsidRPr="003C4AB6">
        <w:rPr>
          <w:sz w:val="24"/>
          <w:szCs w:val="24"/>
        </w:rPr>
        <w:t>;</w:t>
      </w:r>
    </w:p>
    <w:p w:rsidR="00175D15" w:rsidRPr="003C4AB6" w:rsidRDefault="00175D1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175D15" w:rsidRPr="003C4AB6" w:rsidRDefault="00B116A9"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Използвани съкращения и основни дефиниции – Приложение </w:t>
      </w:r>
      <w:r w:rsidR="00970C59">
        <w:rPr>
          <w:sz w:val="24"/>
          <w:szCs w:val="24"/>
        </w:rPr>
        <w:t>Т</w:t>
      </w:r>
      <w:r w:rsidR="002F3268" w:rsidRPr="003C4AB6">
        <w:rPr>
          <w:sz w:val="24"/>
          <w:szCs w:val="24"/>
        </w:rPr>
        <w:t>.</w:t>
      </w:r>
    </w:p>
    <w:p w:rsidR="00233F47" w:rsidRPr="003C4AB6" w:rsidRDefault="00233F47"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33F47" w:rsidRDefault="00233F47"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Ниво на технологична готовност (</w:t>
      </w:r>
      <w:r w:rsidRPr="003C4AB6">
        <w:rPr>
          <w:sz w:val="24"/>
          <w:szCs w:val="24"/>
          <w:lang w:val="en-US"/>
        </w:rPr>
        <w:t>TRL</w:t>
      </w:r>
      <w:r w:rsidRPr="003C4AB6">
        <w:rPr>
          <w:sz w:val="24"/>
          <w:szCs w:val="24"/>
        </w:rPr>
        <w:t>)</w:t>
      </w:r>
      <w:r w:rsidRPr="003C4AB6">
        <w:rPr>
          <w:sz w:val="24"/>
          <w:szCs w:val="24"/>
          <w:lang w:val="en-US"/>
        </w:rPr>
        <w:t xml:space="preserve"> – </w:t>
      </w:r>
      <w:r w:rsidRPr="003C4AB6">
        <w:rPr>
          <w:sz w:val="24"/>
          <w:szCs w:val="24"/>
        </w:rPr>
        <w:t xml:space="preserve">Приложение </w:t>
      </w:r>
      <w:r w:rsidR="00970C59">
        <w:rPr>
          <w:sz w:val="24"/>
          <w:szCs w:val="24"/>
        </w:rPr>
        <w:t>У</w:t>
      </w:r>
      <w:r w:rsidRPr="003C4AB6">
        <w:rPr>
          <w:sz w:val="24"/>
          <w:szCs w:val="24"/>
        </w:rPr>
        <w:t>.</w:t>
      </w:r>
    </w:p>
    <w:p w:rsidR="002B3797" w:rsidRDefault="002B3797"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B3797" w:rsidRPr="00233F47" w:rsidRDefault="002B3797"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Декларация за участие в проектно предложение </w:t>
      </w:r>
      <w:r w:rsidR="00706498">
        <w:rPr>
          <w:sz w:val="24"/>
          <w:szCs w:val="24"/>
        </w:rPr>
        <w:t>–</w:t>
      </w:r>
      <w:r>
        <w:rPr>
          <w:sz w:val="24"/>
          <w:szCs w:val="24"/>
        </w:rPr>
        <w:t xml:space="preserve"> </w:t>
      </w:r>
      <w:r w:rsidR="00706498">
        <w:rPr>
          <w:sz w:val="24"/>
          <w:szCs w:val="24"/>
        </w:rPr>
        <w:t xml:space="preserve">Приложение </w:t>
      </w:r>
      <w:r w:rsidR="00DD20EA">
        <w:rPr>
          <w:sz w:val="24"/>
          <w:szCs w:val="24"/>
        </w:rPr>
        <w:t>Ф</w:t>
      </w:r>
      <w:r w:rsidR="00706498">
        <w:rPr>
          <w:sz w:val="24"/>
          <w:szCs w:val="24"/>
        </w:rPr>
        <w:t>.</w:t>
      </w:r>
    </w:p>
    <w:p w:rsidR="00812FB5" w:rsidRPr="006912C4" w:rsidRDefault="00812FB5" w:rsidP="00175D1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sectPr w:rsidR="00812FB5" w:rsidRPr="006912C4" w:rsidSect="00A20AAA">
      <w:headerReference w:type="default" r:id="rId11"/>
      <w:footerReference w:type="default" r:id="rId12"/>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67F" w:rsidRDefault="0036767F" w:rsidP="002325A3">
      <w:pPr>
        <w:spacing w:after="0" w:line="240" w:lineRule="auto"/>
      </w:pPr>
      <w:r>
        <w:separator/>
      </w:r>
    </w:p>
  </w:endnote>
  <w:endnote w:type="continuationSeparator" w:id="0">
    <w:p w:rsidR="0036767F" w:rsidRDefault="0036767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Times New Roman"/>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266747"/>
      <w:docPartObj>
        <w:docPartGallery w:val="Page Numbers (Bottom of Page)"/>
        <w:docPartUnique/>
      </w:docPartObj>
    </w:sdtPr>
    <w:sdtEndPr>
      <w:rPr>
        <w:noProof/>
      </w:rPr>
    </w:sdtEndPr>
    <w:sdtContent>
      <w:p w:rsidR="00BF624A" w:rsidRDefault="00BF624A">
        <w:pPr>
          <w:pStyle w:val="Footer"/>
          <w:jc w:val="center"/>
        </w:pPr>
        <w:r>
          <w:fldChar w:fldCharType="begin"/>
        </w:r>
        <w:r>
          <w:instrText xml:space="preserve"> PAGE   \* MERGEFORMAT </w:instrText>
        </w:r>
        <w:r>
          <w:fldChar w:fldCharType="separate"/>
        </w:r>
        <w:r w:rsidR="00C431CC">
          <w:rPr>
            <w:noProof/>
          </w:rPr>
          <w:t>10</w:t>
        </w:r>
        <w:r>
          <w:rPr>
            <w:noProof/>
          </w:rPr>
          <w:fldChar w:fldCharType="end"/>
        </w:r>
      </w:p>
    </w:sdtContent>
  </w:sdt>
  <w:p w:rsidR="00BF624A" w:rsidRPr="008C0317" w:rsidRDefault="00BF624A"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67F" w:rsidRDefault="0036767F" w:rsidP="002325A3">
      <w:pPr>
        <w:spacing w:after="0" w:line="240" w:lineRule="auto"/>
      </w:pPr>
      <w:r>
        <w:separator/>
      </w:r>
    </w:p>
  </w:footnote>
  <w:footnote w:type="continuationSeparator" w:id="0">
    <w:p w:rsidR="0036767F" w:rsidRDefault="0036767F" w:rsidP="002325A3">
      <w:pPr>
        <w:spacing w:after="0" w:line="240" w:lineRule="auto"/>
      </w:pPr>
      <w:r>
        <w:continuationSeparator/>
      </w:r>
    </w:p>
  </w:footnote>
  <w:footnote w:id="1">
    <w:p w:rsidR="00BF624A" w:rsidRPr="008A3C7F" w:rsidRDefault="00BF624A">
      <w:pPr>
        <w:pStyle w:val="FootnoteText"/>
      </w:pPr>
      <w:r>
        <w:rPr>
          <w:rStyle w:val="FootnoteReference"/>
        </w:rPr>
        <w:footnoteRef/>
      </w:r>
      <w:r>
        <w:t xml:space="preserve"> Моля, запознайте се с използваните съкращения и основни дефиниции по проце</w:t>
      </w:r>
      <w:r w:rsidRPr="00F4142D">
        <w:t>дура</w:t>
      </w:r>
      <w:r w:rsidRPr="008A3C7F">
        <w:t xml:space="preserve">та (Приложение </w:t>
      </w:r>
      <w:r>
        <w:t>Т</w:t>
      </w:r>
      <w:r w:rsidRPr="008A3C7F">
        <w:t>).</w:t>
      </w:r>
    </w:p>
  </w:footnote>
  <w:footnote w:id="2">
    <w:p w:rsidR="00BF624A" w:rsidRDefault="00BF624A">
      <w:pPr>
        <w:pStyle w:val="FootnoteText"/>
      </w:pPr>
      <w:r w:rsidRPr="008A3C7F">
        <w:rPr>
          <w:rStyle w:val="FootnoteReference"/>
        </w:rPr>
        <w:footnoteRef/>
      </w:r>
      <w:r w:rsidRPr="008A3C7F">
        <w:t xml:space="preserve"> Предприятия с по-малко от 3 приключени финансови години към крайната дата за подаване</w:t>
      </w:r>
      <w:r w:rsidRPr="00F817B3">
        <w:t xml:space="preserve"> на проектни предложения.</w:t>
      </w:r>
    </w:p>
  </w:footnote>
  <w:footnote w:id="3">
    <w:p w:rsidR="00BF624A" w:rsidRDefault="00BF624A" w:rsidP="004B48C5">
      <w:pPr>
        <w:pStyle w:val="FootnoteText"/>
        <w:tabs>
          <w:tab w:val="left" w:pos="1830"/>
        </w:tabs>
        <w:jc w:val="both"/>
      </w:pPr>
      <w:r>
        <w:rPr>
          <w:rStyle w:val="FootnoteReference"/>
        </w:rPr>
        <w:footnoteRef/>
      </w:r>
      <w:r>
        <w:t xml:space="preserve"> При окончателно плащане Управляващият орган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footnote>
  <w:footnote w:id="4">
    <w:p w:rsidR="00BF624A" w:rsidRPr="00B22EA9" w:rsidRDefault="00BF624A">
      <w:pPr>
        <w:pStyle w:val="FootnoteText"/>
      </w:pPr>
      <w:r>
        <w:rPr>
          <w:rStyle w:val="FootnoteReference"/>
        </w:rPr>
        <w:footnoteRef/>
      </w:r>
      <w:r>
        <w:t xml:space="preserve"> Кандидатите следва да са регистрирани в Търговския регистър след 01.</w:t>
      </w:r>
      <w:proofErr w:type="spellStart"/>
      <w:r>
        <w:t>01</w:t>
      </w:r>
      <w:proofErr w:type="spellEnd"/>
      <w:r>
        <w:t>.2014 г.</w:t>
      </w:r>
    </w:p>
  </w:footnote>
  <w:footnote w:id="5">
    <w:p w:rsidR="00BF624A" w:rsidRPr="008A3C7F" w:rsidRDefault="00BF624A" w:rsidP="00B033F8">
      <w:pPr>
        <w:pStyle w:val="FootnoteText"/>
        <w:jc w:val="both"/>
      </w:pPr>
      <w:r>
        <w:rPr>
          <w:rStyle w:val="FootnoteReference"/>
        </w:rPr>
        <w:footnoteRef/>
      </w:r>
      <w:r>
        <w:t xml:space="preserve"> </w:t>
      </w:r>
      <w:r w:rsidRPr="00B80B69">
        <w:rPr>
          <w:rFonts w:ascii="Calibri" w:eastAsia="Calibri" w:hAnsi="Calibri" w:cs="Times New Roman"/>
        </w:rPr>
        <w:t xml:space="preserve">За целите на настоящите </w:t>
      </w:r>
      <w:r>
        <w:rPr>
          <w:rFonts w:ascii="Calibri" w:eastAsia="Calibri" w:hAnsi="Calibri" w:cs="Times New Roman"/>
        </w:rPr>
        <w:t>Условия</w:t>
      </w:r>
      <w:r w:rsidRPr="00B80B69">
        <w:rPr>
          <w:rFonts w:ascii="Calibri" w:eastAsia="Calibri" w:hAnsi="Calibri" w:cs="Times New Roman"/>
        </w:rPr>
        <w:t xml:space="preserve"> под „лице с право да представлява кандидата“ следва да се разбира официален представител на предприятието-кандидат, а не  упълномощено </w:t>
      </w:r>
      <w:r w:rsidRPr="008A3C7F">
        <w:rPr>
          <w:rFonts w:ascii="Calibri" w:eastAsia="Calibri" w:hAnsi="Calibri" w:cs="Times New Roman"/>
        </w:rPr>
        <w:t>лице</w:t>
      </w:r>
      <w:r w:rsidRPr="008A3C7F">
        <w:t>.</w:t>
      </w:r>
    </w:p>
  </w:footnote>
  <w:footnote w:id="6">
    <w:p w:rsidR="00BF624A" w:rsidRDefault="00BF624A">
      <w:pPr>
        <w:pStyle w:val="FootnoteText"/>
      </w:pPr>
      <w:r w:rsidRPr="008A3C7F">
        <w:rPr>
          <w:rStyle w:val="FootnoteReference"/>
        </w:rPr>
        <w:footnoteRef/>
      </w:r>
      <w:r w:rsidRPr="008A3C7F">
        <w:t xml:space="preserve"> Съгласно дефинициите, дадени в чл. 2 от </w:t>
      </w:r>
      <w:r w:rsidRPr="008A3C7F">
        <w:rPr>
          <w:bCs/>
        </w:rPr>
        <w:t>Регламент на Комисията (ЕС) № 1407/2013</w:t>
      </w:r>
      <w:r>
        <w:t xml:space="preserve"> и Приложение Т</w:t>
      </w:r>
      <w:r w:rsidRPr="008A3C7F">
        <w:t xml:space="preserve"> към настоящите </w:t>
      </w:r>
      <w:r>
        <w:t>Условия</w:t>
      </w:r>
      <w:r w:rsidRPr="008A3C7F">
        <w:t xml:space="preserve"> за кандидатстване.</w:t>
      </w:r>
    </w:p>
  </w:footnote>
  <w:footnote w:id="7">
    <w:p w:rsidR="00BF624A" w:rsidRPr="00031F35" w:rsidRDefault="00BF624A" w:rsidP="006044F7">
      <w:pPr>
        <w:pStyle w:val="FootnoteText"/>
        <w:jc w:val="both"/>
      </w:pPr>
      <w:r>
        <w:rPr>
          <w:rStyle w:val="FootnoteReference"/>
        </w:rPr>
        <w:footnoteRef/>
      </w:r>
      <w:r>
        <w:t xml:space="preserve"> </w:t>
      </w:r>
      <w:r>
        <w:rPr>
          <w:rFonts w:ascii="Times New Roman" w:eastAsia="Times New Roman" w:hAnsi="Times New Roman" w:cs="Times New Roman"/>
          <w:szCs w:val="24"/>
          <w:lang w:eastAsia="bg-BG"/>
        </w:rPr>
        <w:t>Националната дефиниция определя като „селски райони” общините, в които няма населено място с население над 30 000 души.</w:t>
      </w:r>
    </w:p>
  </w:footnote>
  <w:footnote w:id="8">
    <w:p w:rsidR="00BF624A" w:rsidRDefault="00BF624A" w:rsidP="00E22680">
      <w:pPr>
        <w:pStyle w:val="FootnoteText"/>
        <w:jc w:val="both"/>
      </w:pPr>
      <w:r w:rsidRPr="005D3F30">
        <w:rPr>
          <w:rStyle w:val="FootnoteReference"/>
        </w:rPr>
        <w:footnoteRef/>
      </w:r>
      <w:r w:rsidRPr="005D3F30">
        <w:t xml:space="preserve"> Проектите, реализирани в тематичната област, следва да са съобразени с критериите за недопустимост на кандидатите (т. 11.2 от </w:t>
      </w:r>
      <w:r>
        <w:t>Условия</w:t>
      </w:r>
      <w:r w:rsidRPr="005D3F30">
        <w:t>т</w:t>
      </w:r>
      <w:r>
        <w:t>а</w:t>
      </w:r>
      <w:r w:rsidRPr="005D3F30">
        <w:t xml:space="preserve"> за кандидатстване) и по-специално </w:t>
      </w:r>
      <w:proofErr w:type="spellStart"/>
      <w:r w:rsidRPr="005D3F30">
        <w:t>демаркацията</w:t>
      </w:r>
      <w:proofErr w:type="spellEnd"/>
      <w:r w:rsidRPr="005D3F30">
        <w:t xml:space="preserve"> с ПРСР и ограниченията за предприятията от секторите на рибарството и </w:t>
      </w:r>
      <w:proofErr w:type="spellStart"/>
      <w:r w:rsidRPr="005D3F30">
        <w:t>аквакултурите</w:t>
      </w:r>
      <w:proofErr w:type="spellEnd"/>
      <w:r w:rsidRPr="005D3F30">
        <w:t>, първичното производство на селскостопански продукти, преработката и търговията със селскостопански продукти.</w:t>
      </w:r>
    </w:p>
  </w:footnote>
  <w:footnote w:id="9">
    <w:p w:rsidR="00BF624A" w:rsidRDefault="00BF624A" w:rsidP="00CF461F">
      <w:pPr>
        <w:pStyle w:val="FootnoteText"/>
        <w:jc w:val="both"/>
      </w:pPr>
      <w:r>
        <w:rPr>
          <w:rStyle w:val="FootnoteReference"/>
        </w:rPr>
        <w:footnoteRef/>
      </w:r>
      <w:r>
        <w:t xml:space="preserve"> Рутинните модернизации включват незначителни промени по стока или услуга, които са очаквани и планирани предварително. Развитието на модернизацията/подобрението се основава на рутинни, утвърдени дейности. Например,  антивирусните софтуерни програми се закупуват с очакването за чести актуализации, които да се справят с новите вируси. Хотелските вериги строят нови хотели с очакването мебелировката, осветителните тела и баните да бъдат подновявани регулярно, въпреки че това може да бъде в рамките на 10 или 20-годишен цикъл.</w:t>
      </w:r>
    </w:p>
    <w:p w:rsidR="00BF624A" w:rsidRPr="00D2626C" w:rsidRDefault="00BF624A" w:rsidP="003730EC">
      <w:pPr>
        <w:pStyle w:val="FootnoteText"/>
      </w:pPr>
    </w:p>
  </w:footnote>
  <w:footnote w:id="10">
    <w:p w:rsidR="00BF624A" w:rsidRDefault="00BF624A" w:rsidP="00A5145A">
      <w:pPr>
        <w:pStyle w:val="FootnoteText"/>
        <w:jc w:val="both"/>
      </w:pPr>
      <w:r w:rsidRPr="00797B87">
        <w:rPr>
          <w:rStyle w:val="FootnoteReference"/>
          <w:sz w:val="22"/>
          <w:szCs w:val="22"/>
        </w:rPr>
        <w:footnoteRef/>
      </w:r>
      <w:r w:rsidRPr="00797B87">
        <w:t xml:space="preserve"> В съответствие с чл. 125, </w:t>
      </w:r>
      <w:proofErr w:type="spellStart"/>
      <w:r w:rsidRPr="00797B87">
        <w:t>пар</w:t>
      </w:r>
      <w:proofErr w:type="spellEnd"/>
      <w:r w:rsidRPr="00797B87">
        <w:t xml:space="preserve">. 5 от Регламент (ЕС, ЕВРАТОМ) № 966/2012 г. </w:t>
      </w:r>
      <w:r w:rsidRPr="00797B87">
        <w:rPr>
          <w:bCs/>
        </w:rPr>
        <w:t xml:space="preserve">печалбата се определя като надвишаването на постъпленията </w:t>
      </w:r>
      <w:r w:rsidRPr="00F74BFC">
        <w:rPr>
          <w:bCs/>
        </w:rPr>
        <w:t>спрямо допустимите разходи направени от бенефициента по съответния проект в момента на предявяване на искане за окончателно плащане на</w:t>
      </w:r>
      <w:r w:rsidRPr="00797B87">
        <w:rPr>
          <w:bCs/>
        </w:rPr>
        <w:t xml:space="preserve"> отпусната по проекта безвъзмездна помощ. </w:t>
      </w:r>
      <w:r w:rsidRPr="00797B87">
        <w:t>Посочените постъпления се ограничават до прихода генериран от дейностите по проекта.</w:t>
      </w:r>
    </w:p>
  </w:footnote>
  <w:footnote w:id="11">
    <w:p w:rsidR="00BF624A" w:rsidRDefault="00BF624A" w:rsidP="00CB5075">
      <w:pPr>
        <w:pStyle w:val="FootnoteText"/>
        <w:jc w:val="both"/>
      </w:pPr>
      <w:r>
        <w:rPr>
          <w:rStyle w:val="FootnoteReference"/>
        </w:rPr>
        <w:footnoteRef/>
      </w:r>
      <w:r>
        <w:t xml:space="preserve"> К</w:t>
      </w:r>
      <w:r w:rsidRPr="00FD0A04">
        <w:t xml:space="preserve">андидатът следва да представи </w:t>
      </w:r>
      <w:r>
        <w:t xml:space="preserve">на етап кандидатстване </w:t>
      </w:r>
      <w:r w:rsidRPr="00FD0A04">
        <w:t xml:space="preserve">съответните трудови договори, сключени с </w:t>
      </w:r>
      <w:r>
        <w:t>тези служители</w:t>
      </w:r>
      <w:r w:rsidRPr="00FD0A04">
        <w:t>.</w:t>
      </w:r>
    </w:p>
  </w:footnote>
  <w:footnote w:id="12">
    <w:p w:rsidR="00BF624A" w:rsidRPr="007C493F" w:rsidRDefault="00BF624A" w:rsidP="00E92DF1">
      <w:pPr>
        <w:pStyle w:val="FootnoteText"/>
        <w:jc w:val="both"/>
        <w:rPr>
          <w:rFonts w:ascii="Calibri" w:eastAsia="Calibri" w:hAnsi="Calibri" w:cs="Times New Roman"/>
        </w:rPr>
      </w:pPr>
      <w:r>
        <w:rPr>
          <w:rStyle w:val="FootnoteReference"/>
        </w:rPr>
        <w:footnoteRef/>
      </w:r>
      <w:r>
        <w:t xml:space="preserve"> </w:t>
      </w:r>
      <w:r w:rsidRPr="00A607B5">
        <w:rPr>
          <w:rFonts w:ascii="Calibri" w:eastAsia="Calibri" w:hAnsi="Calibri" w:cs="Times New Roman"/>
        </w:rPr>
        <w:t xml:space="preserve">Разходите за доставка, монтаж, инсталиране, изпитване и въвеждане в експлоатация на оборудване/машини/съоръжения следва да бъдат включени в общата стойност на съответните активи, посочени в бюджета на </w:t>
      </w:r>
      <w:r w:rsidRPr="00904A3A">
        <w:rPr>
          <w:rFonts w:ascii="Calibri" w:eastAsia="Calibri" w:hAnsi="Calibri" w:cs="Times New Roman"/>
        </w:rPr>
        <w:t>проекта (т. 5 от Формуляра за кандидатстване). В случай че са посочени в отделни редове в бюджета на проекта, същите ще бъдат</w:t>
      </w:r>
      <w:r>
        <w:rPr>
          <w:rFonts w:ascii="Calibri" w:eastAsia="Calibri" w:hAnsi="Calibri" w:cs="Times New Roman"/>
        </w:rPr>
        <w:t xml:space="preserve"> премахнати от бюджета. Д</w:t>
      </w:r>
      <w:r w:rsidRPr="00904A3A">
        <w:rPr>
          <w:rFonts w:ascii="Calibri" w:eastAsia="Calibri" w:hAnsi="Calibri" w:cs="Times New Roman"/>
        </w:rPr>
        <w:t xml:space="preserve">ефиницията за материални активи </w:t>
      </w:r>
      <w:r>
        <w:rPr>
          <w:rFonts w:ascii="Calibri" w:eastAsia="Calibri" w:hAnsi="Calibri" w:cs="Times New Roman"/>
        </w:rPr>
        <w:t>е посочена в Приложение Т към настоящите Условия</w:t>
      </w:r>
      <w:r w:rsidRPr="007C493F">
        <w:rPr>
          <w:rFonts w:ascii="Calibri" w:eastAsia="Calibri" w:hAnsi="Calibri" w:cs="Times New Roman"/>
        </w:rPr>
        <w:t>.</w:t>
      </w:r>
    </w:p>
  </w:footnote>
  <w:footnote w:id="13">
    <w:p w:rsidR="00BF624A" w:rsidRPr="007C493F" w:rsidRDefault="00BF624A" w:rsidP="00171DD0">
      <w:pPr>
        <w:pStyle w:val="FootnoteText"/>
        <w:jc w:val="both"/>
      </w:pPr>
      <w:r w:rsidRPr="007C493F">
        <w:rPr>
          <w:rStyle w:val="FootnoteReference"/>
        </w:rPr>
        <w:footnoteRef/>
      </w:r>
      <w:r w:rsidRPr="007C493F">
        <w:t xml:space="preserve"> Съг</w:t>
      </w:r>
      <w:r>
        <w:t>ласно дефиницията в Приложение Т към настоящите Условия</w:t>
      </w:r>
      <w:r w:rsidRPr="007C493F">
        <w:t>.</w:t>
      </w:r>
    </w:p>
  </w:footnote>
  <w:footnote w:id="14">
    <w:p w:rsidR="00BF624A" w:rsidRDefault="00BF624A">
      <w:pPr>
        <w:pStyle w:val="FootnoteText"/>
      </w:pPr>
      <w:r w:rsidRPr="007C493F">
        <w:rPr>
          <w:rStyle w:val="FootnoteReference"/>
        </w:rPr>
        <w:footnoteRef/>
      </w:r>
      <w:r w:rsidRPr="007C493F">
        <w:t xml:space="preserve"> Посочените у</w:t>
      </w:r>
      <w:r>
        <w:t>словия са дадени и в Приложение Т</w:t>
      </w:r>
      <w:r w:rsidRPr="007C493F">
        <w:t>.</w:t>
      </w:r>
    </w:p>
  </w:footnote>
  <w:footnote w:id="15">
    <w:p w:rsidR="00BF624A" w:rsidRDefault="00BF624A" w:rsidP="005F38BA">
      <w:pPr>
        <w:pStyle w:val="FootnoteText"/>
        <w:jc w:val="both"/>
      </w:pPr>
      <w:r>
        <w:rPr>
          <w:rStyle w:val="FootnoteReference"/>
        </w:rPr>
        <w:footnoteRef/>
      </w:r>
      <w:r>
        <w:t xml:space="preserve"> Проектите, реализирани в тематичната област, следва да са съобразени с критериите за недопустимост на кандидатите (т. 11.2 от Условията за кандидатстване) и по-специално </w:t>
      </w:r>
      <w:proofErr w:type="spellStart"/>
      <w:r>
        <w:t>демаркацията</w:t>
      </w:r>
      <w:proofErr w:type="spellEnd"/>
      <w:r>
        <w:t xml:space="preserve"> с ПРСР и ограниченията за предприятията от секторите на рибарството и </w:t>
      </w:r>
      <w:proofErr w:type="spellStart"/>
      <w:r>
        <w:t>аквакултурите</w:t>
      </w:r>
      <w:proofErr w:type="spellEnd"/>
      <w:r>
        <w:t>, първичното производство на селскостопански продукти, преработката и търговията със селскостопански продукти.</w:t>
      </w:r>
    </w:p>
  </w:footnote>
  <w:footnote w:id="16">
    <w:p w:rsidR="00BF624A" w:rsidRDefault="00BF624A" w:rsidP="00A95CF3">
      <w:pPr>
        <w:pStyle w:val="FootnoteText"/>
        <w:jc w:val="both"/>
      </w:pPr>
      <w:r>
        <w:rPr>
          <w:rStyle w:val="FootnoteReference"/>
        </w:rPr>
        <w:footnoteRef/>
      </w:r>
      <w:r>
        <w:t xml:space="preserve"> Областите, които попадат в Северозападен район за планиране са посочени в Приложение С към настоящите Условия.</w:t>
      </w:r>
    </w:p>
  </w:footnote>
  <w:footnote w:id="17">
    <w:p w:rsidR="00BF624A" w:rsidRDefault="00BF624A" w:rsidP="00747649">
      <w:pPr>
        <w:pStyle w:val="FootnoteText"/>
        <w:jc w:val="both"/>
      </w:pPr>
      <w:r>
        <w:rPr>
          <w:rStyle w:val="FootnoteReference"/>
        </w:rPr>
        <w:footnoteRef/>
      </w:r>
      <w:r>
        <w:t xml:space="preserve"> Пета рамкова програма, Шеста рамкова програма, Седма рамкова програма и Хоризонт 2020 </w:t>
      </w:r>
      <w:r w:rsidRPr="00E6753E">
        <w:rPr>
          <w:rFonts w:cs="Calibri"/>
        </w:rPr>
        <w:t xml:space="preserve">(вкл. ECSEL </w:t>
      </w:r>
      <w:proofErr w:type="spellStart"/>
      <w:r w:rsidRPr="00E6753E">
        <w:rPr>
          <w:rFonts w:cs="Calibri"/>
        </w:rPr>
        <w:t>Joint</w:t>
      </w:r>
      <w:proofErr w:type="spellEnd"/>
      <w:r w:rsidRPr="00E6753E">
        <w:rPr>
          <w:rFonts w:cs="Calibri"/>
        </w:rPr>
        <w:t xml:space="preserve"> </w:t>
      </w:r>
      <w:proofErr w:type="spellStart"/>
      <w:r w:rsidRPr="00E6753E">
        <w:rPr>
          <w:rFonts w:cs="Calibri"/>
        </w:rPr>
        <w:t>Undertaking</w:t>
      </w:r>
      <w:proofErr w:type="spellEnd"/>
      <w:r w:rsidRPr="00E6753E">
        <w:rPr>
          <w:rFonts w:cs="Calibri"/>
        </w:rPr>
        <w:t>)</w:t>
      </w:r>
      <w:r>
        <w:t>.</w:t>
      </w:r>
    </w:p>
  </w:footnote>
  <w:footnote w:id="18">
    <w:p w:rsidR="00BF624A" w:rsidRDefault="00BF624A" w:rsidP="003A1EC4">
      <w:pPr>
        <w:pStyle w:val="FootnoteText"/>
        <w:jc w:val="both"/>
      </w:pPr>
      <w:r>
        <w:rPr>
          <w:rStyle w:val="FootnoteReference"/>
        </w:rPr>
        <w:footnoteRef/>
      </w:r>
      <w:r>
        <w:t xml:space="preserve"> </w:t>
      </w:r>
      <w:r w:rsidRPr="0066215F">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footnote>
  <w:footnote w:id="19">
    <w:p w:rsidR="00BF624A" w:rsidRDefault="00BF624A" w:rsidP="005C64E6">
      <w:pPr>
        <w:pStyle w:val="FootnoteText"/>
      </w:pPr>
      <w:r>
        <w:rPr>
          <w:rStyle w:val="FootnoteReference"/>
        </w:rPr>
        <w:footnoteRef/>
      </w:r>
      <w:r>
        <w:t xml:space="preserve"> По смисъла на чл. 2, </w:t>
      </w:r>
      <w:proofErr w:type="spellStart"/>
      <w:r>
        <w:t>пар</w:t>
      </w:r>
      <w:proofErr w:type="spellEnd"/>
      <w:r>
        <w:t xml:space="preserve">. 2 от </w:t>
      </w:r>
      <w:r w:rsidRPr="00524C95">
        <w:t>Регламент (ЕС) № 1407/2013 на Комисията</w:t>
      </w:r>
      <w:r>
        <w:t>.</w:t>
      </w:r>
    </w:p>
  </w:footnote>
  <w:footnote w:id="20">
    <w:p w:rsidR="00BF624A" w:rsidRDefault="00BF624A">
      <w:pPr>
        <w:pStyle w:val="FootnoteText"/>
      </w:pPr>
      <w:r>
        <w:rPr>
          <w:rStyle w:val="FootnoteReference"/>
        </w:rPr>
        <w:footnoteRef/>
      </w:r>
      <w:r>
        <w:t xml:space="preserve"> Ръководството може да бъде намерено на следния интернет адрес: </w:t>
      </w:r>
      <w:r w:rsidRPr="00421985">
        <w:t>https://eumis2020.government.bg/docs/guide.pdf</w:t>
      </w:r>
    </w:p>
  </w:footnote>
  <w:footnote w:id="21">
    <w:p w:rsidR="00BF624A" w:rsidRDefault="00BF624A" w:rsidP="00E640EC">
      <w:pPr>
        <w:pStyle w:val="FootnoteText"/>
        <w:jc w:val="both"/>
      </w:pPr>
      <w:r>
        <w:rPr>
          <w:rStyle w:val="FootnoteReference"/>
        </w:rPr>
        <w:footnoteRef/>
      </w:r>
      <w:r>
        <w:t xml:space="preserve"> За целите на настоящите Условия под „лице с право да представлява кандидата“ следва да се разбира официален представител на предприятието.</w:t>
      </w:r>
    </w:p>
  </w:footnote>
  <w:footnote w:id="22">
    <w:p w:rsidR="00BF624A" w:rsidRDefault="00BF624A" w:rsidP="00645ADB">
      <w:pPr>
        <w:tabs>
          <w:tab w:val="right" w:pos="9720"/>
        </w:tabs>
        <w:spacing w:after="0"/>
        <w:jc w:val="both"/>
        <w:rPr>
          <w:spacing w:val="-2"/>
          <w:sz w:val="20"/>
          <w:szCs w:val="20"/>
        </w:rPr>
      </w:pPr>
      <w:r w:rsidRPr="00690EE3">
        <w:rPr>
          <w:rStyle w:val="FootnoteReference"/>
        </w:rPr>
        <w:footnoteRef/>
      </w:r>
      <w:r>
        <w:t xml:space="preserve"> </w:t>
      </w:r>
      <w:r w:rsidRPr="00972E94">
        <w:rPr>
          <w:spacing w:val="-2"/>
          <w:sz w:val="20"/>
          <w:szCs w:val="20"/>
        </w:rPr>
        <w:t>В случай че документите са представени на чужд език, то те задължително следва да бъдат придружени от превод на български език</w:t>
      </w:r>
      <w:r>
        <w:rPr>
          <w:spacing w:val="-2"/>
          <w:sz w:val="20"/>
          <w:szCs w:val="20"/>
        </w:rPr>
        <w:t>.</w:t>
      </w:r>
      <w:r w:rsidRPr="00972E94">
        <w:rPr>
          <w:spacing w:val="-2"/>
          <w:sz w:val="20"/>
          <w:szCs w:val="20"/>
        </w:rPr>
        <w:t xml:space="preserve"> </w:t>
      </w:r>
    </w:p>
    <w:p w:rsidR="00BF624A" w:rsidRPr="005E22B9" w:rsidRDefault="00BF624A" w:rsidP="00645ADB">
      <w:pPr>
        <w:tabs>
          <w:tab w:val="right" w:pos="9720"/>
        </w:tabs>
        <w:spacing w:after="0"/>
        <w:jc w:val="both"/>
        <w:rPr>
          <w:spacing w:val="-2"/>
          <w:sz w:val="20"/>
          <w:szCs w:val="20"/>
        </w:rPr>
      </w:pPr>
      <w:r w:rsidRPr="005E22B9">
        <w:rPr>
          <w:spacing w:val="-2"/>
          <w:sz w:val="20"/>
          <w:szCs w:val="20"/>
        </w:rPr>
        <w:t>В случаите, в</w:t>
      </w:r>
      <w:r>
        <w:rPr>
          <w:spacing w:val="-2"/>
          <w:sz w:val="20"/>
          <w:szCs w:val="20"/>
        </w:rPr>
        <w:t xml:space="preserve"> които в документите не е упоменато</w:t>
      </w:r>
      <w:r w:rsidRPr="005E22B9">
        <w:rPr>
          <w:spacing w:val="-2"/>
          <w:sz w:val="20"/>
          <w:szCs w:val="20"/>
        </w:rPr>
        <w:t xml:space="preserve"> дали цената е с включено ДДС се счита:</w:t>
      </w:r>
    </w:p>
    <w:p w:rsidR="00BF624A" w:rsidRPr="005E22B9" w:rsidRDefault="00BF624A" w:rsidP="00645ADB">
      <w:pPr>
        <w:tabs>
          <w:tab w:val="right" w:pos="9720"/>
        </w:tabs>
        <w:spacing w:after="0"/>
        <w:jc w:val="both"/>
        <w:rPr>
          <w:spacing w:val="-2"/>
          <w:sz w:val="20"/>
          <w:szCs w:val="20"/>
        </w:rPr>
      </w:pPr>
      <w:r>
        <w:rPr>
          <w:spacing w:val="-2"/>
          <w:sz w:val="20"/>
          <w:szCs w:val="20"/>
        </w:rPr>
        <w:t xml:space="preserve">- при български доставчици - </w:t>
      </w:r>
      <w:r w:rsidRPr="005E22B9">
        <w:rPr>
          <w:spacing w:val="-2"/>
          <w:sz w:val="20"/>
          <w:szCs w:val="20"/>
        </w:rPr>
        <w:t xml:space="preserve">описаната стойност в офертата е с ДДС, т.е. при изчисление на цената </w:t>
      </w:r>
      <w:r>
        <w:rPr>
          <w:spacing w:val="-2"/>
          <w:sz w:val="20"/>
          <w:szCs w:val="20"/>
        </w:rPr>
        <w:t>е необходимо да се извади ДДС</w:t>
      </w:r>
      <w:r w:rsidRPr="005E22B9">
        <w:rPr>
          <w:spacing w:val="-2"/>
          <w:sz w:val="20"/>
          <w:szCs w:val="20"/>
        </w:rPr>
        <w:t>.</w:t>
      </w:r>
    </w:p>
    <w:p w:rsidR="00BF624A" w:rsidRPr="00690EE3" w:rsidRDefault="00BF624A" w:rsidP="00645ADB">
      <w:pPr>
        <w:tabs>
          <w:tab w:val="right" w:pos="9720"/>
        </w:tabs>
        <w:spacing w:after="0"/>
        <w:jc w:val="both"/>
      </w:pPr>
      <w:r>
        <w:rPr>
          <w:spacing w:val="-2"/>
          <w:sz w:val="20"/>
          <w:szCs w:val="20"/>
        </w:rPr>
        <w:t xml:space="preserve">- при чуждестранни доставчици - </w:t>
      </w:r>
      <w:r w:rsidRPr="005E22B9">
        <w:rPr>
          <w:spacing w:val="-2"/>
          <w:sz w:val="20"/>
          <w:szCs w:val="20"/>
        </w:rPr>
        <w:t>описаната стойност в офертата е без ДДС.</w:t>
      </w:r>
    </w:p>
  </w:footnote>
  <w:footnote w:id="23">
    <w:p w:rsidR="00BF624A" w:rsidRDefault="00BF624A" w:rsidP="00645ADB">
      <w:pPr>
        <w:pStyle w:val="FootnoteText"/>
        <w:jc w:val="both"/>
      </w:pPr>
      <w:r>
        <w:rPr>
          <w:rStyle w:val="FootnoteReference"/>
        </w:rPr>
        <w:footnoteRef/>
      </w:r>
      <w:r>
        <w:t xml:space="preserve"> </w:t>
      </w:r>
      <w:r w:rsidRPr="00A25B33">
        <w:t>Непредставянето на документа няма да доведе до отхвърляне на проектното предложение, но ще  доведе до редуциране на разходи в бюджета на проектното предложение</w:t>
      </w:r>
      <w:r>
        <w:t xml:space="preserve"> </w:t>
      </w:r>
      <w:r w:rsidRPr="006C18B0">
        <w:t>(т. 5 от Формуляра за кандидатстване)</w:t>
      </w:r>
      <w:r w:rsidRPr="00A25B33">
        <w:t>.</w:t>
      </w:r>
    </w:p>
  </w:footnote>
  <w:footnote w:id="24">
    <w:p w:rsidR="00BF624A" w:rsidRDefault="00BF624A">
      <w:pPr>
        <w:pStyle w:val="FootnoteText"/>
      </w:pPr>
      <w:r>
        <w:rPr>
          <w:rStyle w:val="FootnoteReference"/>
        </w:rPr>
        <w:footnoteRef/>
      </w:r>
      <w:r>
        <w:t xml:space="preserve"> </w:t>
      </w:r>
      <w:r w:rsidRPr="003B0B97">
        <w:t>В случай че документите са представени на чужд език, то те задължително следва да бъдат придружени от превод на български език</w:t>
      </w:r>
      <w:r>
        <w:t>.</w:t>
      </w:r>
    </w:p>
  </w:footnote>
  <w:footnote w:id="25">
    <w:p w:rsidR="00BF624A" w:rsidRDefault="00BF624A" w:rsidP="001E3081">
      <w:pPr>
        <w:pStyle w:val="FootnoteText"/>
        <w:jc w:val="both"/>
      </w:pPr>
      <w:r>
        <w:rPr>
          <w:rStyle w:val="FootnoteReference"/>
        </w:rPr>
        <w:footnoteRef/>
      </w:r>
      <w:r>
        <w:t xml:space="preserve"> В случай че</w:t>
      </w:r>
      <w:r w:rsidRPr="00E44547">
        <w:t xml:space="preserve">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 w:id="26">
    <w:p w:rsidR="00BF624A" w:rsidRDefault="00BF624A" w:rsidP="003C637C">
      <w:pPr>
        <w:pStyle w:val="FootnoteText"/>
        <w:jc w:val="both"/>
      </w:pPr>
      <w:r>
        <w:rPr>
          <w:rStyle w:val="FootnoteReference"/>
        </w:rPr>
        <w:footnoteRef/>
      </w:r>
      <w:r>
        <w:t xml:space="preserve"> </w:t>
      </w:r>
      <w:r w:rsidRPr="005B4901">
        <w:t>Съгласно чл. 32, ал. 3 от Закона за счетоводството „Годишните финансови отчети на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могат да се състоят само от отчет за приходите и разходите”.</w:t>
      </w:r>
      <w:r>
        <w:t>В този случай се представя</w:t>
      </w:r>
      <w:r w:rsidRPr="00A36C1D">
        <w:t xml:space="preserve"> целият отчет за приходите и разходите към Годишния отчет за дейността на кандидата.</w:t>
      </w:r>
    </w:p>
  </w:footnote>
  <w:footnote w:id="27">
    <w:p w:rsidR="00BF624A" w:rsidRDefault="00BF624A" w:rsidP="003C637C">
      <w:pPr>
        <w:pStyle w:val="FootnoteText"/>
        <w:jc w:val="both"/>
      </w:pPr>
      <w:r>
        <w:rPr>
          <w:rStyle w:val="FootnoteReference"/>
        </w:rPr>
        <w:footnoteRef/>
      </w:r>
      <w:r>
        <w:t xml:space="preserve"> </w:t>
      </w:r>
      <w:r w:rsidRPr="005B4901">
        <w:t>Когато кандидат</w:t>
      </w:r>
      <w:r>
        <w:t>ът</w:t>
      </w:r>
      <w:r w:rsidRPr="005B4901">
        <w:t xml:space="preserve"> съставя консолидиран финансов отчет или участва в консолидация, следва да бъдат представени консолидирани Отчет за приходите и разходите и Счетоводен баланс за последната приключена финансова година</w:t>
      </w:r>
      <w:r>
        <w:t>.</w:t>
      </w:r>
    </w:p>
  </w:footnote>
  <w:footnote w:id="28">
    <w:p w:rsidR="00BF624A" w:rsidRDefault="00BF624A" w:rsidP="003C637C">
      <w:pPr>
        <w:pStyle w:val="FootnoteText"/>
        <w:jc w:val="both"/>
      </w:pPr>
      <w:r>
        <w:rPr>
          <w:rStyle w:val="FootnoteReference"/>
        </w:rPr>
        <w:footnoteRef/>
      </w:r>
      <w:r>
        <w:t xml:space="preserve"> </w:t>
      </w:r>
      <w:r w:rsidRPr="00083D48">
        <w:t>Посоченият документ е част от Годишния отчет за дейността на кандидата. Съгласно чл. 92, ал.</w:t>
      </w:r>
      <w:r>
        <w:t xml:space="preserve"> </w:t>
      </w:r>
      <w:r w:rsidRPr="00083D48">
        <w:t>З, чл.</w:t>
      </w:r>
      <w:r>
        <w:t xml:space="preserve"> </w:t>
      </w:r>
      <w:r w:rsidRPr="00083D48">
        <w:t>219, ал.</w:t>
      </w:r>
      <w:r>
        <w:t xml:space="preserve"> </w:t>
      </w:r>
      <w:r w:rsidRPr="00083D48">
        <w:t>4, чл.</w:t>
      </w:r>
      <w:r>
        <w:t xml:space="preserve"> </w:t>
      </w:r>
      <w:r w:rsidRPr="00083D48">
        <w:t>252, ал.</w:t>
      </w:r>
      <w:r>
        <w:t xml:space="preserve"> </w:t>
      </w:r>
      <w:r w:rsidRPr="00083D48">
        <w:t>2, чл.</w:t>
      </w:r>
      <w:r>
        <w:t xml:space="preserve"> </w:t>
      </w:r>
      <w:r w:rsidRPr="00083D48">
        <w:t>259, ал.</w:t>
      </w:r>
      <w:r>
        <w:t xml:space="preserve"> </w:t>
      </w:r>
      <w:r w:rsidRPr="00083D48">
        <w:t>З от ЗКПО и чл.</w:t>
      </w:r>
      <w:r>
        <w:t xml:space="preserve"> </w:t>
      </w:r>
      <w:r w:rsidRPr="00083D48">
        <w:t>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083D48">
        <w:t>01</w:t>
      </w:r>
      <w:proofErr w:type="spellEnd"/>
      <w:r w:rsidRPr="00083D48">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w:t>
      </w:r>
      <w:proofErr w:type="spellStart"/>
      <w:r w:rsidRPr="00083D48">
        <w:t>лв</w:t>
      </w:r>
      <w:proofErr w:type="spellEnd"/>
      <w:r w:rsidRPr="00083D48">
        <w:rPr>
          <w:lang w:val="en-US"/>
        </w:rPr>
        <w:t xml:space="preserve">. </w:t>
      </w:r>
      <w:r w:rsidRPr="00083D48">
        <w:t xml:space="preserve">В този случай се </w:t>
      </w:r>
      <w:r>
        <w:t>представя</w:t>
      </w:r>
      <w:r w:rsidRPr="00083D48">
        <w:t xml:space="preserve"> Справка заети лица към Отчета за приходи и разходи</w:t>
      </w:r>
      <w:r>
        <w:t xml:space="preserve"> към Годишния отчет за дейността</w:t>
      </w:r>
      <w:r w:rsidRPr="00083D48">
        <w:t>.</w:t>
      </w:r>
    </w:p>
  </w:footnote>
  <w:footnote w:id="29">
    <w:p w:rsidR="00BF624A" w:rsidRDefault="00BF624A" w:rsidP="00DD3461">
      <w:pPr>
        <w:pStyle w:val="FootnoteText"/>
        <w:jc w:val="both"/>
      </w:pPr>
      <w:r w:rsidRPr="00E36E23">
        <w:rPr>
          <w:rStyle w:val="FootnoteReference"/>
        </w:rPr>
        <w:footnoteRef/>
      </w:r>
      <w:r w:rsidRPr="00E36E23">
        <w:t xml:space="preserve"> Декларацията по чл. 9, ал. 8, т. 1 на ПМС № 107/10.05.2014 и чл</w:t>
      </w:r>
      <w:r w:rsidRPr="001E1529">
        <w:t xml:space="preserve">. 25, ал. 2 от Закона за управление на средствата от европейските структурни и инвестиционни фондове </w:t>
      </w:r>
      <w:r w:rsidRPr="0083042D">
        <w:t>(Приложение В)</w:t>
      </w:r>
      <w:r>
        <w:t>,</w:t>
      </w:r>
      <w:r w:rsidRPr="008C2D42">
        <w:rPr>
          <w:sz w:val="24"/>
          <w:szCs w:val="24"/>
        </w:rPr>
        <w:t xml:space="preserve"> </w:t>
      </w:r>
      <w:r w:rsidRPr="008C2D42">
        <w:t xml:space="preserve">Декларацията за минимални помощи (Приложение Г) </w:t>
      </w:r>
      <w:r>
        <w:t xml:space="preserve">и </w:t>
      </w:r>
      <w:r w:rsidRPr="002766E7">
        <w:t>Декларация</w:t>
      </w:r>
      <w:r>
        <w:t>та</w:t>
      </w:r>
      <w:r w:rsidRPr="002766E7">
        <w:t xml:space="preserve"> за ненарушаване на чужди права върху интелек</w:t>
      </w:r>
      <w:r>
        <w:t>туална собственост (Приложение Е</w:t>
      </w:r>
      <w:r w:rsidRPr="002766E7">
        <w:t>) се попълват и подават отново независимо дали са настъпили промени в декларираните обстоятелства на етап кандидатстване</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4A0" w:firstRow="1" w:lastRow="0" w:firstColumn="1" w:lastColumn="0" w:noHBand="0" w:noVBand="1"/>
    </w:tblPr>
    <w:tblGrid>
      <w:gridCol w:w="9890"/>
      <w:gridCol w:w="146"/>
      <w:gridCol w:w="146"/>
    </w:tblGrid>
    <w:tr w:rsidR="00BF624A" w:rsidRPr="00247CD6" w:rsidTr="004D16D6">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BF624A" w:rsidRPr="000259C4" w:rsidTr="009B15E1">
            <w:trPr>
              <w:trHeight w:val="1271"/>
            </w:trPr>
            <w:tc>
              <w:tcPr>
                <w:tcW w:w="3265" w:type="dxa"/>
              </w:tcPr>
              <w:p w:rsidR="00BF624A" w:rsidRPr="000259C4" w:rsidRDefault="00BF624A" w:rsidP="001479E0">
                <w:pPr>
                  <w:jc w:val="center"/>
                  <w:rPr>
                    <w:sz w:val="28"/>
                    <w:szCs w:val="28"/>
                  </w:rPr>
                </w:pPr>
                <w:r>
                  <w:rPr>
                    <w:noProof/>
                    <w:lang w:eastAsia="bg-BG"/>
                  </w:rPr>
                  <w:drawing>
                    <wp:anchor distT="0" distB="0" distL="114300" distR="114300" simplePos="0" relativeHeight="251659264" behindDoc="0" locked="0" layoutInCell="1" allowOverlap="1" wp14:anchorId="54D5E443" wp14:editId="2CA2B7BB">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624A" w:rsidRDefault="00BF624A" w:rsidP="001479E0">
                <w:pPr>
                  <w:jc w:val="center"/>
                  <w:rPr>
                    <w:b/>
                    <w:sz w:val="14"/>
                    <w:szCs w:val="14"/>
                  </w:rPr>
                </w:pPr>
              </w:p>
              <w:p w:rsidR="00BF624A" w:rsidRDefault="00BF624A" w:rsidP="001479E0">
                <w:pPr>
                  <w:jc w:val="center"/>
                  <w:rPr>
                    <w:b/>
                    <w:sz w:val="14"/>
                    <w:szCs w:val="14"/>
                  </w:rPr>
                </w:pPr>
              </w:p>
              <w:p w:rsidR="00BF624A" w:rsidRPr="00572D44" w:rsidRDefault="00BF624A" w:rsidP="001479E0">
                <w:pPr>
                  <w:jc w:val="center"/>
                  <w:rPr>
                    <w:b/>
                    <w:sz w:val="18"/>
                    <w:szCs w:val="18"/>
                  </w:rPr>
                </w:pPr>
                <w:r w:rsidRPr="00572D44">
                  <w:rPr>
                    <w:b/>
                    <w:sz w:val="18"/>
                    <w:szCs w:val="18"/>
                  </w:rPr>
                  <w:t>ЕВРОПЕЙСКИ СЪЮЗ</w:t>
                </w:r>
              </w:p>
            </w:tc>
            <w:tc>
              <w:tcPr>
                <w:tcW w:w="2871" w:type="dxa"/>
              </w:tcPr>
              <w:p w:rsidR="00BF624A" w:rsidRPr="000259C4" w:rsidRDefault="00BF624A" w:rsidP="001479E0">
                <w:pPr>
                  <w:jc w:val="center"/>
                </w:pPr>
              </w:p>
              <w:p w:rsidR="00BF624A" w:rsidRPr="000259C4" w:rsidRDefault="00BF624A" w:rsidP="001479E0">
                <w:pPr>
                  <w:jc w:val="center"/>
                </w:pPr>
              </w:p>
              <w:p w:rsidR="00BF624A" w:rsidRPr="000259C4" w:rsidRDefault="00BF624A" w:rsidP="001479E0">
                <w:pPr>
                  <w:jc w:val="center"/>
                </w:pPr>
              </w:p>
            </w:tc>
            <w:tc>
              <w:tcPr>
                <w:tcW w:w="3380" w:type="dxa"/>
              </w:tcPr>
              <w:p w:rsidR="00BF624A" w:rsidRPr="000259C4" w:rsidRDefault="00BF624A" w:rsidP="001479E0">
                <w:pPr>
                  <w:jc w:val="center"/>
                </w:pPr>
                <w:r w:rsidRPr="004D404D">
                  <w:rPr>
                    <w:rFonts w:ascii="Calibri" w:eastAsia="Calibri" w:hAnsi="Calibri" w:cs="Times New Roman"/>
                    <w:noProof/>
                    <w:lang w:eastAsia="bg-BG"/>
                  </w:rPr>
                  <w:drawing>
                    <wp:inline distT="0" distB="0" distL="0" distR="0" wp14:anchorId="796F4F28" wp14:editId="3E3CA3A6">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BF624A" w:rsidRPr="00247CD6" w:rsidRDefault="00BF624A" w:rsidP="004D16D6">
          <w:pPr>
            <w:snapToGrid w:val="0"/>
            <w:spacing w:after="0"/>
            <w:rPr>
              <w:b/>
              <w:i/>
              <w:sz w:val="12"/>
              <w:szCs w:val="12"/>
            </w:rPr>
          </w:pPr>
        </w:p>
      </w:tc>
      <w:tc>
        <w:tcPr>
          <w:tcW w:w="2430" w:type="dxa"/>
        </w:tcPr>
        <w:p w:rsidR="00BF624A" w:rsidRPr="00247CD6" w:rsidRDefault="00BF624A" w:rsidP="004D16D6">
          <w:pPr>
            <w:snapToGrid w:val="0"/>
            <w:spacing w:after="0"/>
            <w:jc w:val="center"/>
            <w:rPr>
              <w:lang w:val="en-US"/>
            </w:rPr>
          </w:pPr>
        </w:p>
      </w:tc>
      <w:tc>
        <w:tcPr>
          <w:tcW w:w="4113" w:type="dxa"/>
          <w:hideMark/>
        </w:tcPr>
        <w:p w:rsidR="00BF624A" w:rsidRPr="00247CD6" w:rsidRDefault="00BF624A" w:rsidP="004D16D6">
          <w:pPr>
            <w:snapToGrid w:val="0"/>
            <w:spacing w:after="0"/>
            <w:jc w:val="center"/>
          </w:pPr>
        </w:p>
      </w:tc>
    </w:tr>
  </w:tbl>
  <w:p w:rsidR="00BF624A" w:rsidRPr="004D16D6" w:rsidRDefault="00BF624A" w:rsidP="00047D34">
    <w:pPr>
      <w:pStyle w:val="Header"/>
      <w:tabs>
        <w:tab w:val="clear" w:pos="4536"/>
        <w:tab w:val="clear" w:pos="9072"/>
        <w:tab w:val="left" w:pos="5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4DA"/>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A05"/>
    <w:rsid w:val="00086E45"/>
    <w:rsid w:val="00087E20"/>
    <w:rsid w:val="000906DA"/>
    <w:rsid w:val="00090F19"/>
    <w:rsid w:val="00091B09"/>
    <w:rsid w:val="000922B7"/>
    <w:rsid w:val="00093585"/>
    <w:rsid w:val="000935EF"/>
    <w:rsid w:val="00094940"/>
    <w:rsid w:val="000951C0"/>
    <w:rsid w:val="00095523"/>
    <w:rsid w:val="00095B1C"/>
    <w:rsid w:val="00095EE5"/>
    <w:rsid w:val="000960B6"/>
    <w:rsid w:val="000960EB"/>
    <w:rsid w:val="000973AD"/>
    <w:rsid w:val="00097715"/>
    <w:rsid w:val="00097E69"/>
    <w:rsid w:val="00097E7E"/>
    <w:rsid w:val="000A0069"/>
    <w:rsid w:val="000A0264"/>
    <w:rsid w:val="000A0774"/>
    <w:rsid w:val="000A0795"/>
    <w:rsid w:val="000A109A"/>
    <w:rsid w:val="000A112C"/>
    <w:rsid w:val="000A19D0"/>
    <w:rsid w:val="000A1B53"/>
    <w:rsid w:val="000A1D20"/>
    <w:rsid w:val="000A2B39"/>
    <w:rsid w:val="000A2E36"/>
    <w:rsid w:val="000A3EB7"/>
    <w:rsid w:val="000A43E9"/>
    <w:rsid w:val="000A488B"/>
    <w:rsid w:val="000A5408"/>
    <w:rsid w:val="000A54EB"/>
    <w:rsid w:val="000A5EEE"/>
    <w:rsid w:val="000A6111"/>
    <w:rsid w:val="000A6182"/>
    <w:rsid w:val="000A639B"/>
    <w:rsid w:val="000A671E"/>
    <w:rsid w:val="000A6AF4"/>
    <w:rsid w:val="000A6D84"/>
    <w:rsid w:val="000A7CE5"/>
    <w:rsid w:val="000A7E40"/>
    <w:rsid w:val="000B0A30"/>
    <w:rsid w:val="000B0E5A"/>
    <w:rsid w:val="000B0EC0"/>
    <w:rsid w:val="000B0EEC"/>
    <w:rsid w:val="000B1056"/>
    <w:rsid w:val="000B2C34"/>
    <w:rsid w:val="000B2DE7"/>
    <w:rsid w:val="000B31B5"/>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3197"/>
    <w:rsid w:val="000C325A"/>
    <w:rsid w:val="000C3D3A"/>
    <w:rsid w:val="000C40C5"/>
    <w:rsid w:val="000C4938"/>
    <w:rsid w:val="000C4D70"/>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960"/>
    <w:rsid w:val="000D2B71"/>
    <w:rsid w:val="000D2EA1"/>
    <w:rsid w:val="000D2F88"/>
    <w:rsid w:val="000D3271"/>
    <w:rsid w:val="000D3778"/>
    <w:rsid w:val="000D44E3"/>
    <w:rsid w:val="000D5270"/>
    <w:rsid w:val="000D52FA"/>
    <w:rsid w:val="000D5FA0"/>
    <w:rsid w:val="000D667A"/>
    <w:rsid w:val="000D758F"/>
    <w:rsid w:val="000E0225"/>
    <w:rsid w:val="000E0388"/>
    <w:rsid w:val="000E0667"/>
    <w:rsid w:val="000E0A9A"/>
    <w:rsid w:val="000E0EC2"/>
    <w:rsid w:val="000E1161"/>
    <w:rsid w:val="000E1D0A"/>
    <w:rsid w:val="000E2EAB"/>
    <w:rsid w:val="000E332D"/>
    <w:rsid w:val="000E33B0"/>
    <w:rsid w:val="000E39E6"/>
    <w:rsid w:val="000E43FC"/>
    <w:rsid w:val="000E508E"/>
    <w:rsid w:val="000E512C"/>
    <w:rsid w:val="000E6634"/>
    <w:rsid w:val="000E6A90"/>
    <w:rsid w:val="000E6BE8"/>
    <w:rsid w:val="000E724D"/>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9FD"/>
    <w:rsid w:val="00100B1D"/>
    <w:rsid w:val="00101C3D"/>
    <w:rsid w:val="00101C6E"/>
    <w:rsid w:val="00101D68"/>
    <w:rsid w:val="00101DC0"/>
    <w:rsid w:val="00101EC8"/>
    <w:rsid w:val="001033CE"/>
    <w:rsid w:val="00104660"/>
    <w:rsid w:val="001048A0"/>
    <w:rsid w:val="00104B35"/>
    <w:rsid w:val="00104F0A"/>
    <w:rsid w:val="00105C9C"/>
    <w:rsid w:val="00105F95"/>
    <w:rsid w:val="0010662B"/>
    <w:rsid w:val="00106BB5"/>
    <w:rsid w:val="00106BC6"/>
    <w:rsid w:val="00106E32"/>
    <w:rsid w:val="00107950"/>
    <w:rsid w:val="00107CC4"/>
    <w:rsid w:val="00110C84"/>
    <w:rsid w:val="001112AA"/>
    <w:rsid w:val="00111D0D"/>
    <w:rsid w:val="00111D5C"/>
    <w:rsid w:val="00111F12"/>
    <w:rsid w:val="001123AB"/>
    <w:rsid w:val="00113282"/>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868"/>
    <w:rsid w:val="001209AF"/>
    <w:rsid w:val="001211F8"/>
    <w:rsid w:val="0012123B"/>
    <w:rsid w:val="00122594"/>
    <w:rsid w:val="0012267F"/>
    <w:rsid w:val="0012292A"/>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5071"/>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6523"/>
    <w:rsid w:val="00156634"/>
    <w:rsid w:val="0015684C"/>
    <w:rsid w:val="00157234"/>
    <w:rsid w:val="00157A84"/>
    <w:rsid w:val="00157ABA"/>
    <w:rsid w:val="00157B99"/>
    <w:rsid w:val="001603E5"/>
    <w:rsid w:val="00160C7B"/>
    <w:rsid w:val="001610D6"/>
    <w:rsid w:val="00161A7F"/>
    <w:rsid w:val="00161C1D"/>
    <w:rsid w:val="00161C7A"/>
    <w:rsid w:val="00163690"/>
    <w:rsid w:val="00163F76"/>
    <w:rsid w:val="00164486"/>
    <w:rsid w:val="001646C4"/>
    <w:rsid w:val="001658FC"/>
    <w:rsid w:val="001668BF"/>
    <w:rsid w:val="00166D3E"/>
    <w:rsid w:val="00167084"/>
    <w:rsid w:val="001705C7"/>
    <w:rsid w:val="00170979"/>
    <w:rsid w:val="00171B8A"/>
    <w:rsid w:val="00171DD0"/>
    <w:rsid w:val="00172003"/>
    <w:rsid w:val="00172878"/>
    <w:rsid w:val="001731A8"/>
    <w:rsid w:val="0017324A"/>
    <w:rsid w:val="0017437B"/>
    <w:rsid w:val="001748BC"/>
    <w:rsid w:val="0017590E"/>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F2A"/>
    <w:rsid w:val="00183267"/>
    <w:rsid w:val="001834DB"/>
    <w:rsid w:val="00183520"/>
    <w:rsid w:val="00183529"/>
    <w:rsid w:val="00183A76"/>
    <w:rsid w:val="001849C7"/>
    <w:rsid w:val="00184D33"/>
    <w:rsid w:val="00184E31"/>
    <w:rsid w:val="00185C40"/>
    <w:rsid w:val="00185FF2"/>
    <w:rsid w:val="0018607E"/>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7DE"/>
    <w:rsid w:val="001D49F0"/>
    <w:rsid w:val="001D4FDF"/>
    <w:rsid w:val="001D534F"/>
    <w:rsid w:val="001D5B9A"/>
    <w:rsid w:val="001D66AE"/>
    <w:rsid w:val="001D6ECC"/>
    <w:rsid w:val="001D7307"/>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6EA"/>
    <w:rsid w:val="001F6BC8"/>
    <w:rsid w:val="001F6C45"/>
    <w:rsid w:val="001F7027"/>
    <w:rsid w:val="001F7386"/>
    <w:rsid w:val="001F73F0"/>
    <w:rsid w:val="001F742C"/>
    <w:rsid w:val="001F7F3B"/>
    <w:rsid w:val="00200740"/>
    <w:rsid w:val="002008FD"/>
    <w:rsid w:val="00200BC0"/>
    <w:rsid w:val="00200CFB"/>
    <w:rsid w:val="00200D64"/>
    <w:rsid w:val="002014EC"/>
    <w:rsid w:val="00201B9F"/>
    <w:rsid w:val="00202165"/>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622C"/>
    <w:rsid w:val="00216B2F"/>
    <w:rsid w:val="0021791A"/>
    <w:rsid w:val="00220881"/>
    <w:rsid w:val="00221410"/>
    <w:rsid w:val="002218E8"/>
    <w:rsid w:val="00223A29"/>
    <w:rsid w:val="002242DB"/>
    <w:rsid w:val="0022460B"/>
    <w:rsid w:val="0022475E"/>
    <w:rsid w:val="002249B3"/>
    <w:rsid w:val="00224DF1"/>
    <w:rsid w:val="002250FB"/>
    <w:rsid w:val="00225ADA"/>
    <w:rsid w:val="00225DAE"/>
    <w:rsid w:val="002263FE"/>
    <w:rsid w:val="00226B65"/>
    <w:rsid w:val="002275FC"/>
    <w:rsid w:val="00227A58"/>
    <w:rsid w:val="002302DD"/>
    <w:rsid w:val="0023040F"/>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AF2"/>
    <w:rsid w:val="00234B91"/>
    <w:rsid w:val="00235162"/>
    <w:rsid w:val="002351D6"/>
    <w:rsid w:val="00235CC7"/>
    <w:rsid w:val="0023625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2ADA"/>
    <w:rsid w:val="00252B3E"/>
    <w:rsid w:val="00252D21"/>
    <w:rsid w:val="00254836"/>
    <w:rsid w:val="00254903"/>
    <w:rsid w:val="00254B90"/>
    <w:rsid w:val="00255144"/>
    <w:rsid w:val="00255A6A"/>
    <w:rsid w:val="00255D94"/>
    <w:rsid w:val="00255DE3"/>
    <w:rsid w:val="0025610F"/>
    <w:rsid w:val="00256B78"/>
    <w:rsid w:val="00257CDF"/>
    <w:rsid w:val="00260CE0"/>
    <w:rsid w:val="00261CEE"/>
    <w:rsid w:val="0026238D"/>
    <w:rsid w:val="00263817"/>
    <w:rsid w:val="00263D07"/>
    <w:rsid w:val="002642C2"/>
    <w:rsid w:val="002648CD"/>
    <w:rsid w:val="00264DBF"/>
    <w:rsid w:val="00265E6D"/>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4052"/>
    <w:rsid w:val="00284BBC"/>
    <w:rsid w:val="00284BD0"/>
    <w:rsid w:val="00284D7A"/>
    <w:rsid w:val="00284DA3"/>
    <w:rsid w:val="00285328"/>
    <w:rsid w:val="00285527"/>
    <w:rsid w:val="00285DA1"/>
    <w:rsid w:val="00285FEB"/>
    <w:rsid w:val="00286E0F"/>
    <w:rsid w:val="002876C1"/>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950"/>
    <w:rsid w:val="00293BD5"/>
    <w:rsid w:val="00294207"/>
    <w:rsid w:val="002945CD"/>
    <w:rsid w:val="002947A7"/>
    <w:rsid w:val="002955D8"/>
    <w:rsid w:val="002956F0"/>
    <w:rsid w:val="002966D5"/>
    <w:rsid w:val="002966E7"/>
    <w:rsid w:val="002A0099"/>
    <w:rsid w:val="002A0561"/>
    <w:rsid w:val="002A0DE0"/>
    <w:rsid w:val="002A162D"/>
    <w:rsid w:val="002A1BE2"/>
    <w:rsid w:val="002A2065"/>
    <w:rsid w:val="002A26E6"/>
    <w:rsid w:val="002A2C94"/>
    <w:rsid w:val="002A2CED"/>
    <w:rsid w:val="002A3183"/>
    <w:rsid w:val="002A3655"/>
    <w:rsid w:val="002A4098"/>
    <w:rsid w:val="002A48C1"/>
    <w:rsid w:val="002A5C07"/>
    <w:rsid w:val="002A5ED7"/>
    <w:rsid w:val="002A600D"/>
    <w:rsid w:val="002A6640"/>
    <w:rsid w:val="002A688A"/>
    <w:rsid w:val="002A69FC"/>
    <w:rsid w:val="002A6A9A"/>
    <w:rsid w:val="002A6FA2"/>
    <w:rsid w:val="002A787C"/>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D0080"/>
    <w:rsid w:val="002D01CA"/>
    <w:rsid w:val="002D0A53"/>
    <w:rsid w:val="002D20C2"/>
    <w:rsid w:val="002D275C"/>
    <w:rsid w:val="002D28B1"/>
    <w:rsid w:val="002D29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EC6"/>
    <w:rsid w:val="002E5A46"/>
    <w:rsid w:val="002E627B"/>
    <w:rsid w:val="002E76DC"/>
    <w:rsid w:val="002E7ACA"/>
    <w:rsid w:val="002E7FEF"/>
    <w:rsid w:val="002F17E4"/>
    <w:rsid w:val="002F1FC9"/>
    <w:rsid w:val="002F1FD6"/>
    <w:rsid w:val="002F1FFC"/>
    <w:rsid w:val="002F20CA"/>
    <w:rsid w:val="002F2857"/>
    <w:rsid w:val="002F2E99"/>
    <w:rsid w:val="002F3268"/>
    <w:rsid w:val="002F3A18"/>
    <w:rsid w:val="002F3CEF"/>
    <w:rsid w:val="002F3D21"/>
    <w:rsid w:val="002F4D09"/>
    <w:rsid w:val="002F4D5D"/>
    <w:rsid w:val="002F50ED"/>
    <w:rsid w:val="002F5340"/>
    <w:rsid w:val="002F6169"/>
    <w:rsid w:val="002F633C"/>
    <w:rsid w:val="002F7948"/>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6A1"/>
    <w:rsid w:val="00310A6E"/>
    <w:rsid w:val="00310D69"/>
    <w:rsid w:val="00311558"/>
    <w:rsid w:val="00311B3E"/>
    <w:rsid w:val="00311E71"/>
    <w:rsid w:val="00312301"/>
    <w:rsid w:val="00312557"/>
    <w:rsid w:val="003128A1"/>
    <w:rsid w:val="00312B59"/>
    <w:rsid w:val="0031370F"/>
    <w:rsid w:val="00313B3D"/>
    <w:rsid w:val="0031445C"/>
    <w:rsid w:val="00314CFB"/>
    <w:rsid w:val="00314D02"/>
    <w:rsid w:val="00314E45"/>
    <w:rsid w:val="0031592F"/>
    <w:rsid w:val="00315A65"/>
    <w:rsid w:val="00315DC8"/>
    <w:rsid w:val="00316382"/>
    <w:rsid w:val="00316EB5"/>
    <w:rsid w:val="00317539"/>
    <w:rsid w:val="003176D3"/>
    <w:rsid w:val="003202DC"/>
    <w:rsid w:val="003215F7"/>
    <w:rsid w:val="00321C67"/>
    <w:rsid w:val="003224B1"/>
    <w:rsid w:val="00322691"/>
    <w:rsid w:val="00322699"/>
    <w:rsid w:val="003235CD"/>
    <w:rsid w:val="00323CE5"/>
    <w:rsid w:val="0032410C"/>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277A"/>
    <w:rsid w:val="003427BF"/>
    <w:rsid w:val="003429B7"/>
    <w:rsid w:val="00342EA5"/>
    <w:rsid w:val="003430E7"/>
    <w:rsid w:val="00344572"/>
    <w:rsid w:val="00345A12"/>
    <w:rsid w:val="00345E3C"/>
    <w:rsid w:val="003475B6"/>
    <w:rsid w:val="0034772C"/>
    <w:rsid w:val="00347D92"/>
    <w:rsid w:val="0035006A"/>
    <w:rsid w:val="00350342"/>
    <w:rsid w:val="0035044E"/>
    <w:rsid w:val="00350D24"/>
    <w:rsid w:val="00351218"/>
    <w:rsid w:val="00351B4C"/>
    <w:rsid w:val="00352139"/>
    <w:rsid w:val="00352D2A"/>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67F"/>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1353"/>
    <w:rsid w:val="003A18DC"/>
    <w:rsid w:val="003A1A2D"/>
    <w:rsid w:val="003A1C8A"/>
    <w:rsid w:val="003A1EC4"/>
    <w:rsid w:val="003A30AB"/>
    <w:rsid w:val="003A3BA4"/>
    <w:rsid w:val="003A4453"/>
    <w:rsid w:val="003A48F8"/>
    <w:rsid w:val="003A5B5C"/>
    <w:rsid w:val="003A5D6D"/>
    <w:rsid w:val="003A5D75"/>
    <w:rsid w:val="003A6796"/>
    <w:rsid w:val="003A6B30"/>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EEC"/>
    <w:rsid w:val="003D012A"/>
    <w:rsid w:val="003D06B5"/>
    <w:rsid w:val="003D06FC"/>
    <w:rsid w:val="003D0B33"/>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1053"/>
    <w:rsid w:val="003E23BD"/>
    <w:rsid w:val="003E24D0"/>
    <w:rsid w:val="003E25A7"/>
    <w:rsid w:val="003E2D27"/>
    <w:rsid w:val="003E3302"/>
    <w:rsid w:val="003E405B"/>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908"/>
    <w:rsid w:val="00410920"/>
    <w:rsid w:val="00410C7D"/>
    <w:rsid w:val="00410DE4"/>
    <w:rsid w:val="00411E24"/>
    <w:rsid w:val="004125CB"/>
    <w:rsid w:val="00412A93"/>
    <w:rsid w:val="00412B7F"/>
    <w:rsid w:val="00412F1B"/>
    <w:rsid w:val="00413057"/>
    <w:rsid w:val="004138BA"/>
    <w:rsid w:val="004140D9"/>
    <w:rsid w:val="0041449B"/>
    <w:rsid w:val="004144E3"/>
    <w:rsid w:val="00414807"/>
    <w:rsid w:val="004148F5"/>
    <w:rsid w:val="00414B2D"/>
    <w:rsid w:val="004153A6"/>
    <w:rsid w:val="004154C8"/>
    <w:rsid w:val="00415EF3"/>
    <w:rsid w:val="00416190"/>
    <w:rsid w:val="00416F3D"/>
    <w:rsid w:val="004171D6"/>
    <w:rsid w:val="00417FCF"/>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604"/>
    <w:rsid w:val="00426010"/>
    <w:rsid w:val="0042650A"/>
    <w:rsid w:val="00426DBC"/>
    <w:rsid w:val="00427279"/>
    <w:rsid w:val="00427410"/>
    <w:rsid w:val="0042755D"/>
    <w:rsid w:val="004275E2"/>
    <w:rsid w:val="00427684"/>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D1E"/>
    <w:rsid w:val="004471D0"/>
    <w:rsid w:val="00447B1A"/>
    <w:rsid w:val="00450A2B"/>
    <w:rsid w:val="00450BE8"/>
    <w:rsid w:val="00451500"/>
    <w:rsid w:val="00451FBC"/>
    <w:rsid w:val="004521D0"/>
    <w:rsid w:val="0045263F"/>
    <w:rsid w:val="00452C9E"/>
    <w:rsid w:val="00453643"/>
    <w:rsid w:val="00453CB2"/>
    <w:rsid w:val="00454211"/>
    <w:rsid w:val="00454AFA"/>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D"/>
    <w:rsid w:val="0047198A"/>
    <w:rsid w:val="004719D6"/>
    <w:rsid w:val="00471A6F"/>
    <w:rsid w:val="00471AB4"/>
    <w:rsid w:val="004728E4"/>
    <w:rsid w:val="004729D2"/>
    <w:rsid w:val="00473E58"/>
    <w:rsid w:val="00473FF0"/>
    <w:rsid w:val="004743ED"/>
    <w:rsid w:val="004744AF"/>
    <w:rsid w:val="00474874"/>
    <w:rsid w:val="00474AEF"/>
    <w:rsid w:val="004756E6"/>
    <w:rsid w:val="00475D58"/>
    <w:rsid w:val="00476683"/>
    <w:rsid w:val="004773FF"/>
    <w:rsid w:val="0047754A"/>
    <w:rsid w:val="00477734"/>
    <w:rsid w:val="00477952"/>
    <w:rsid w:val="0048001F"/>
    <w:rsid w:val="004802AB"/>
    <w:rsid w:val="00481A6D"/>
    <w:rsid w:val="00481D32"/>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FE4"/>
    <w:rsid w:val="00491400"/>
    <w:rsid w:val="00491A1C"/>
    <w:rsid w:val="00491C23"/>
    <w:rsid w:val="004928C5"/>
    <w:rsid w:val="00492DA1"/>
    <w:rsid w:val="00493089"/>
    <w:rsid w:val="00493887"/>
    <w:rsid w:val="00494723"/>
    <w:rsid w:val="00494854"/>
    <w:rsid w:val="00494E1B"/>
    <w:rsid w:val="00494F6B"/>
    <w:rsid w:val="004953B2"/>
    <w:rsid w:val="004953E6"/>
    <w:rsid w:val="0049564C"/>
    <w:rsid w:val="0049599F"/>
    <w:rsid w:val="00495CB4"/>
    <w:rsid w:val="00495ECD"/>
    <w:rsid w:val="00496382"/>
    <w:rsid w:val="00496455"/>
    <w:rsid w:val="004966C6"/>
    <w:rsid w:val="00496E80"/>
    <w:rsid w:val="004973FC"/>
    <w:rsid w:val="00497402"/>
    <w:rsid w:val="00497548"/>
    <w:rsid w:val="00497642"/>
    <w:rsid w:val="004976E5"/>
    <w:rsid w:val="004A0A98"/>
    <w:rsid w:val="004A0C3F"/>
    <w:rsid w:val="004A0C62"/>
    <w:rsid w:val="004A0F50"/>
    <w:rsid w:val="004A1094"/>
    <w:rsid w:val="004A1EE5"/>
    <w:rsid w:val="004A20D9"/>
    <w:rsid w:val="004A2570"/>
    <w:rsid w:val="004A268D"/>
    <w:rsid w:val="004A2722"/>
    <w:rsid w:val="004A2C6B"/>
    <w:rsid w:val="004A536D"/>
    <w:rsid w:val="004A58E5"/>
    <w:rsid w:val="004A60AF"/>
    <w:rsid w:val="004A627E"/>
    <w:rsid w:val="004A65C6"/>
    <w:rsid w:val="004A68A1"/>
    <w:rsid w:val="004A6D93"/>
    <w:rsid w:val="004A7B30"/>
    <w:rsid w:val="004A7BF9"/>
    <w:rsid w:val="004A7C1F"/>
    <w:rsid w:val="004B1394"/>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3F1"/>
    <w:rsid w:val="004C0147"/>
    <w:rsid w:val="004C0568"/>
    <w:rsid w:val="004C085A"/>
    <w:rsid w:val="004C0F71"/>
    <w:rsid w:val="004C125F"/>
    <w:rsid w:val="004C21BA"/>
    <w:rsid w:val="004C288C"/>
    <w:rsid w:val="004C2974"/>
    <w:rsid w:val="004C2CB5"/>
    <w:rsid w:val="004C3259"/>
    <w:rsid w:val="004C3936"/>
    <w:rsid w:val="004C41B4"/>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66D4"/>
    <w:rsid w:val="004F68BB"/>
    <w:rsid w:val="004F6C33"/>
    <w:rsid w:val="004F6DE6"/>
    <w:rsid w:val="004F7843"/>
    <w:rsid w:val="004F7C62"/>
    <w:rsid w:val="004F7DE3"/>
    <w:rsid w:val="00500903"/>
    <w:rsid w:val="00500B5D"/>
    <w:rsid w:val="00501219"/>
    <w:rsid w:val="00501F9F"/>
    <w:rsid w:val="00502BBF"/>
    <w:rsid w:val="005036B2"/>
    <w:rsid w:val="00504674"/>
    <w:rsid w:val="005053FA"/>
    <w:rsid w:val="00505823"/>
    <w:rsid w:val="00505A35"/>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CAD"/>
    <w:rsid w:val="00540E49"/>
    <w:rsid w:val="00541148"/>
    <w:rsid w:val="005415EE"/>
    <w:rsid w:val="00541E1E"/>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31AA"/>
    <w:rsid w:val="005740F6"/>
    <w:rsid w:val="005748B2"/>
    <w:rsid w:val="00575399"/>
    <w:rsid w:val="00576052"/>
    <w:rsid w:val="005764A7"/>
    <w:rsid w:val="00577279"/>
    <w:rsid w:val="005776D6"/>
    <w:rsid w:val="005778C3"/>
    <w:rsid w:val="00581F2F"/>
    <w:rsid w:val="00582011"/>
    <w:rsid w:val="005824A9"/>
    <w:rsid w:val="005835BD"/>
    <w:rsid w:val="0058444E"/>
    <w:rsid w:val="005844B6"/>
    <w:rsid w:val="00584614"/>
    <w:rsid w:val="00584D27"/>
    <w:rsid w:val="00584E9B"/>
    <w:rsid w:val="00584F56"/>
    <w:rsid w:val="00585E09"/>
    <w:rsid w:val="0058683A"/>
    <w:rsid w:val="005868D2"/>
    <w:rsid w:val="005871B9"/>
    <w:rsid w:val="005876FA"/>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784"/>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F"/>
    <w:rsid w:val="005B252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631"/>
    <w:rsid w:val="005C0969"/>
    <w:rsid w:val="005C1072"/>
    <w:rsid w:val="005C1AC3"/>
    <w:rsid w:val="005C1CA2"/>
    <w:rsid w:val="005C1F0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556"/>
    <w:rsid w:val="005D39CC"/>
    <w:rsid w:val="005D3F30"/>
    <w:rsid w:val="005D3FBD"/>
    <w:rsid w:val="005D472C"/>
    <w:rsid w:val="005D4BE5"/>
    <w:rsid w:val="005D54FF"/>
    <w:rsid w:val="005D5898"/>
    <w:rsid w:val="005D61AF"/>
    <w:rsid w:val="005D64CA"/>
    <w:rsid w:val="005D71D6"/>
    <w:rsid w:val="005D7471"/>
    <w:rsid w:val="005E05AF"/>
    <w:rsid w:val="005E0603"/>
    <w:rsid w:val="005E0796"/>
    <w:rsid w:val="005E0AC7"/>
    <w:rsid w:val="005E0FB1"/>
    <w:rsid w:val="005E1086"/>
    <w:rsid w:val="005E1096"/>
    <w:rsid w:val="005E153F"/>
    <w:rsid w:val="005E1731"/>
    <w:rsid w:val="005E1B54"/>
    <w:rsid w:val="005E1F5F"/>
    <w:rsid w:val="005E22B9"/>
    <w:rsid w:val="005E2554"/>
    <w:rsid w:val="005E2C97"/>
    <w:rsid w:val="005E30BD"/>
    <w:rsid w:val="005E3394"/>
    <w:rsid w:val="005E391D"/>
    <w:rsid w:val="005E44FB"/>
    <w:rsid w:val="005E4F55"/>
    <w:rsid w:val="005E5522"/>
    <w:rsid w:val="005E5A1F"/>
    <w:rsid w:val="005E5CF8"/>
    <w:rsid w:val="005E5D98"/>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AFE"/>
    <w:rsid w:val="005F211D"/>
    <w:rsid w:val="005F2B8C"/>
    <w:rsid w:val="005F2C88"/>
    <w:rsid w:val="005F340A"/>
    <w:rsid w:val="005F38BA"/>
    <w:rsid w:val="005F496C"/>
    <w:rsid w:val="005F512E"/>
    <w:rsid w:val="005F5CB1"/>
    <w:rsid w:val="005F5F3D"/>
    <w:rsid w:val="005F64CA"/>
    <w:rsid w:val="005F65CF"/>
    <w:rsid w:val="005F6B95"/>
    <w:rsid w:val="005F738E"/>
    <w:rsid w:val="005F7650"/>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630C"/>
    <w:rsid w:val="006179B8"/>
    <w:rsid w:val="00617CE1"/>
    <w:rsid w:val="00620AEE"/>
    <w:rsid w:val="00620C42"/>
    <w:rsid w:val="00620D4A"/>
    <w:rsid w:val="00621340"/>
    <w:rsid w:val="00622A49"/>
    <w:rsid w:val="00622C5D"/>
    <w:rsid w:val="00622D9E"/>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696"/>
    <w:rsid w:val="00637A58"/>
    <w:rsid w:val="00637E63"/>
    <w:rsid w:val="006402F8"/>
    <w:rsid w:val="006407BE"/>
    <w:rsid w:val="0064125B"/>
    <w:rsid w:val="00641362"/>
    <w:rsid w:val="00641EB2"/>
    <w:rsid w:val="006423B4"/>
    <w:rsid w:val="00642451"/>
    <w:rsid w:val="00643432"/>
    <w:rsid w:val="006444BD"/>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B68"/>
    <w:rsid w:val="00650CBD"/>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27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1293"/>
    <w:rsid w:val="006A18FB"/>
    <w:rsid w:val="006A1BA1"/>
    <w:rsid w:val="006A205A"/>
    <w:rsid w:val="006A2B55"/>
    <w:rsid w:val="006A2B99"/>
    <w:rsid w:val="006A2DB8"/>
    <w:rsid w:val="006A2FB2"/>
    <w:rsid w:val="006A32B3"/>
    <w:rsid w:val="006A3FF9"/>
    <w:rsid w:val="006A42DF"/>
    <w:rsid w:val="006A42FB"/>
    <w:rsid w:val="006A53FA"/>
    <w:rsid w:val="006A58A4"/>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7B66"/>
    <w:rsid w:val="006C7C58"/>
    <w:rsid w:val="006D0040"/>
    <w:rsid w:val="006D0786"/>
    <w:rsid w:val="006D1046"/>
    <w:rsid w:val="006D1186"/>
    <w:rsid w:val="006D13F1"/>
    <w:rsid w:val="006D1E61"/>
    <w:rsid w:val="006D1ED9"/>
    <w:rsid w:val="006D2164"/>
    <w:rsid w:val="006D2413"/>
    <w:rsid w:val="006D2549"/>
    <w:rsid w:val="006D272D"/>
    <w:rsid w:val="006D2CFF"/>
    <w:rsid w:val="006D2EA8"/>
    <w:rsid w:val="006D390D"/>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51B1"/>
    <w:rsid w:val="006E5446"/>
    <w:rsid w:val="006E5670"/>
    <w:rsid w:val="006E5D6D"/>
    <w:rsid w:val="006E5D7B"/>
    <w:rsid w:val="006E63D1"/>
    <w:rsid w:val="006E75AB"/>
    <w:rsid w:val="006E7727"/>
    <w:rsid w:val="006E7A98"/>
    <w:rsid w:val="006E7D2F"/>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4E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0DE"/>
    <w:rsid w:val="00712776"/>
    <w:rsid w:val="00713489"/>
    <w:rsid w:val="0071470F"/>
    <w:rsid w:val="007157A4"/>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E1C"/>
    <w:rsid w:val="007243CD"/>
    <w:rsid w:val="00724670"/>
    <w:rsid w:val="00724740"/>
    <w:rsid w:val="00724C03"/>
    <w:rsid w:val="00724D12"/>
    <w:rsid w:val="00726419"/>
    <w:rsid w:val="00726BAA"/>
    <w:rsid w:val="00726D64"/>
    <w:rsid w:val="00727B5F"/>
    <w:rsid w:val="00727F29"/>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649"/>
    <w:rsid w:val="00747DF6"/>
    <w:rsid w:val="007501F1"/>
    <w:rsid w:val="007504BF"/>
    <w:rsid w:val="00750533"/>
    <w:rsid w:val="00750839"/>
    <w:rsid w:val="0075085C"/>
    <w:rsid w:val="00750B15"/>
    <w:rsid w:val="007511D1"/>
    <w:rsid w:val="0075172E"/>
    <w:rsid w:val="00751BFF"/>
    <w:rsid w:val="00751C15"/>
    <w:rsid w:val="00752519"/>
    <w:rsid w:val="007528B0"/>
    <w:rsid w:val="00752D9B"/>
    <w:rsid w:val="00753194"/>
    <w:rsid w:val="0075377F"/>
    <w:rsid w:val="00753C03"/>
    <w:rsid w:val="00754AA9"/>
    <w:rsid w:val="00755C41"/>
    <w:rsid w:val="00755EBB"/>
    <w:rsid w:val="00756197"/>
    <w:rsid w:val="0075682B"/>
    <w:rsid w:val="007568E0"/>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C3E"/>
    <w:rsid w:val="00771183"/>
    <w:rsid w:val="0077158D"/>
    <w:rsid w:val="00771858"/>
    <w:rsid w:val="007723FD"/>
    <w:rsid w:val="00772430"/>
    <w:rsid w:val="00772E00"/>
    <w:rsid w:val="0077334A"/>
    <w:rsid w:val="00774CB9"/>
    <w:rsid w:val="00775907"/>
    <w:rsid w:val="00775965"/>
    <w:rsid w:val="00775B1B"/>
    <w:rsid w:val="0077650A"/>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59"/>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56B"/>
    <w:rsid w:val="007A5633"/>
    <w:rsid w:val="007A56C1"/>
    <w:rsid w:val="007A60D3"/>
    <w:rsid w:val="007A6417"/>
    <w:rsid w:val="007A66DA"/>
    <w:rsid w:val="007A7992"/>
    <w:rsid w:val="007A7A3A"/>
    <w:rsid w:val="007A7B16"/>
    <w:rsid w:val="007A7B56"/>
    <w:rsid w:val="007A7C38"/>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59B5"/>
    <w:rsid w:val="007B61B3"/>
    <w:rsid w:val="007B6B2E"/>
    <w:rsid w:val="007B6FA3"/>
    <w:rsid w:val="007B7111"/>
    <w:rsid w:val="007B759D"/>
    <w:rsid w:val="007C0137"/>
    <w:rsid w:val="007C0326"/>
    <w:rsid w:val="007C04C7"/>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29A7"/>
    <w:rsid w:val="007D313F"/>
    <w:rsid w:val="007D45D0"/>
    <w:rsid w:val="007D47C9"/>
    <w:rsid w:val="007D52B1"/>
    <w:rsid w:val="007D61CC"/>
    <w:rsid w:val="007D66DB"/>
    <w:rsid w:val="007D6889"/>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4730"/>
    <w:rsid w:val="007E490F"/>
    <w:rsid w:val="007E4A09"/>
    <w:rsid w:val="007E4EB4"/>
    <w:rsid w:val="007E4FA4"/>
    <w:rsid w:val="007E5802"/>
    <w:rsid w:val="007E6317"/>
    <w:rsid w:val="007E6857"/>
    <w:rsid w:val="007E6B50"/>
    <w:rsid w:val="007F0444"/>
    <w:rsid w:val="007F2351"/>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7B"/>
    <w:rsid w:val="008122FF"/>
    <w:rsid w:val="00812B37"/>
    <w:rsid w:val="00812FB5"/>
    <w:rsid w:val="00813354"/>
    <w:rsid w:val="0081394C"/>
    <w:rsid w:val="008140BD"/>
    <w:rsid w:val="008140C3"/>
    <w:rsid w:val="00814736"/>
    <w:rsid w:val="00814F69"/>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4A"/>
    <w:rsid w:val="008477A1"/>
    <w:rsid w:val="0085068A"/>
    <w:rsid w:val="00850AFF"/>
    <w:rsid w:val="00851158"/>
    <w:rsid w:val="0085115C"/>
    <w:rsid w:val="0085123B"/>
    <w:rsid w:val="00851AC6"/>
    <w:rsid w:val="00851C93"/>
    <w:rsid w:val="00851EC1"/>
    <w:rsid w:val="008527EC"/>
    <w:rsid w:val="00852820"/>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B44"/>
    <w:rsid w:val="00856CDB"/>
    <w:rsid w:val="00856CF5"/>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D48"/>
    <w:rsid w:val="008810AD"/>
    <w:rsid w:val="00881D45"/>
    <w:rsid w:val="00882305"/>
    <w:rsid w:val="008823F6"/>
    <w:rsid w:val="00882768"/>
    <w:rsid w:val="0088296B"/>
    <w:rsid w:val="00883B14"/>
    <w:rsid w:val="008843D4"/>
    <w:rsid w:val="00884B49"/>
    <w:rsid w:val="00884C77"/>
    <w:rsid w:val="0088542C"/>
    <w:rsid w:val="00885478"/>
    <w:rsid w:val="00885864"/>
    <w:rsid w:val="008858A7"/>
    <w:rsid w:val="00885BEB"/>
    <w:rsid w:val="008861C2"/>
    <w:rsid w:val="00886246"/>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7359"/>
    <w:rsid w:val="008B7419"/>
    <w:rsid w:val="008C0317"/>
    <w:rsid w:val="008C07DE"/>
    <w:rsid w:val="008C0F21"/>
    <w:rsid w:val="008C1152"/>
    <w:rsid w:val="008C1621"/>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3F6"/>
    <w:rsid w:val="008D547A"/>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18B"/>
    <w:rsid w:val="008E7749"/>
    <w:rsid w:val="008F0101"/>
    <w:rsid w:val="008F1430"/>
    <w:rsid w:val="008F2988"/>
    <w:rsid w:val="008F3084"/>
    <w:rsid w:val="008F374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502C"/>
    <w:rsid w:val="009153C6"/>
    <w:rsid w:val="009157B0"/>
    <w:rsid w:val="00915876"/>
    <w:rsid w:val="009159AA"/>
    <w:rsid w:val="00915CAB"/>
    <w:rsid w:val="00916B5A"/>
    <w:rsid w:val="00916EB2"/>
    <w:rsid w:val="00917223"/>
    <w:rsid w:val="00921031"/>
    <w:rsid w:val="009214C6"/>
    <w:rsid w:val="00921709"/>
    <w:rsid w:val="00921856"/>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BE1"/>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7933"/>
    <w:rsid w:val="00957BCE"/>
    <w:rsid w:val="009602D9"/>
    <w:rsid w:val="009605A5"/>
    <w:rsid w:val="00960A2F"/>
    <w:rsid w:val="00960E32"/>
    <w:rsid w:val="00962D0F"/>
    <w:rsid w:val="0096372C"/>
    <w:rsid w:val="00963D03"/>
    <w:rsid w:val="00964055"/>
    <w:rsid w:val="00964858"/>
    <w:rsid w:val="00964FBC"/>
    <w:rsid w:val="00965186"/>
    <w:rsid w:val="009653CD"/>
    <w:rsid w:val="0096596F"/>
    <w:rsid w:val="00966687"/>
    <w:rsid w:val="009667DC"/>
    <w:rsid w:val="009667F6"/>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3053"/>
    <w:rsid w:val="0098305E"/>
    <w:rsid w:val="0098310E"/>
    <w:rsid w:val="009838F6"/>
    <w:rsid w:val="00983C4E"/>
    <w:rsid w:val="00983EB4"/>
    <w:rsid w:val="00984041"/>
    <w:rsid w:val="00985086"/>
    <w:rsid w:val="0098548B"/>
    <w:rsid w:val="00985762"/>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0E"/>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FBC"/>
    <w:rsid w:val="009B2284"/>
    <w:rsid w:val="009B229C"/>
    <w:rsid w:val="009B22E5"/>
    <w:rsid w:val="009B23C9"/>
    <w:rsid w:val="009B25C0"/>
    <w:rsid w:val="009B28D6"/>
    <w:rsid w:val="009B3923"/>
    <w:rsid w:val="009B3C97"/>
    <w:rsid w:val="009B427A"/>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1C8"/>
    <w:rsid w:val="009F10B5"/>
    <w:rsid w:val="009F1626"/>
    <w:rsid w:val="009F1BEC"/>
    <w:rsid w:val="009F1E7F"/>
    <w:rsid w:val="009F2310"/>
    <w:rsid w:val="009F236A"/>
    <w:rsid w:val="009F2F9A"/>
    <w:rsid w:val="009F3225"/>
    <w:rsid w:val="009F3B2A"/>
    <w:rsid w:val="009F3D8E"/>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CC6"/>
    <w:rsid w:val="00A04326"/>
    <w:rsid w:val="00A04668"/>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5C8"/>
    <w:rsid w:val="00A21EB3"/>
    <w:rsid w:val="00A23275"/>
    <w:rsid w:val="00A2349D"/>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606D"/>
    <w:rsid w:val="00A362DE"/>
    <w:rsid w:val="00A36323"/>
    <w:rsid w:val="00A36957"/>
    <w:rsid w:val="00A36C1D"/>
    <w:rsid w:val="00A37E27"/>
    <w:rsid w:val="00A37F47"/>
    <w:rsid w:val="00A412A2"/>
    <w:rsid w:val="00A4329E"/>
    <w:rsid w:val="00A43B0F"/>
    <w:rsid w:val="00A43E94"/>
    <w:rsid w:val="00A44608"/>
    <w:rsid w:val="00A4486E"/>
    <w:rsid w:val="00A44D37"/>
    <w:rsid w:val="00A4538F"/>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675"/>
    <w:rsid w:val="00A94FAB"/>
    <w:rsid w:val="00A95527"/>
    <w:rsid w:val="00A95937"/>
    <w:rsid w:val="00A95C72"/>
    <w:rsid w:val="00A95CF3"/>
    <w:rsid w:val="00A95F6C"/>
    <w:rsid w:val="00A962BF"/>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B0217"/>
    <w:rsid w:val="00AB0504"/>
    <w:rsid w:val="00AB0752"/>
    <w:rsid w:val="00AB098B"/>
    <w:rsid w:val="00AB0B13"/>
    <w:rsid w:val="00AB12DC"/>
    <w:rsid w:val="00AB1BF0"/>
    <w:rsid w:val="00AB2013"/>
    <w:rsid w:val="00AB3660"/>
    <w:rsid w:val="00AB3724"/>
    <w:rsid w:val="00AB6379"/>
    <w:rsid w:val="00AB640E"/>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813"/>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C5E"/>
    <w:rsid w:val="00AD6234"/>
    <w:rsid w:val="00AD6523"/>
    <w:rsid w:val="00AD655B"/>
    <w:rsid w:val="00AD6959"/>
    <w:rsid w:val="00AE0A21"/>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89C"/>
    <w:rsid w:val="00AF19A6"/>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B87"/>
    <w:rsid w:val="00B52DFF"/>
    <w:rsid w:val="00B5304F"/>
    <w:rsid w:val="00B532EF"/>
    <w:rsid w:val="00B534D4"/>
    <w:rsid w:val="00B54168"/>
    <w:rsid w:val="00B541E1"/>
    <w:rsid w:val="00B544F3"/>
    <w:rsid w:val="00B545CD"/>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73D0"/>
    <w:rsid w:val="00B90C4E"/>
    <w:rsid w:val="00B918EB"/>
    <w:rsid w:val="00B91DEC"/>
    <w:rsid w:val="00B922DA"/>
    <w:rsid w:val="00B92D08"/>
    <w:rsid w:val="00B93565"/>
    <w:rsid w:val="00B9357F"/>
    <w:rsid w:val="00B9396F"/>
    <w:rsid w:val="00B94BE8"/>
    <w:rsid w:val="00B94BEE"/>
    <w:rsid w:val="00B952D2"/>
    <w:rsid w:val="00B9538F"/>
    <w:rsid w:val="00B95462"/>
    <w:rsid w:val="00B95AFC"/>
    <w:rsid w:val="00B963C2"/>
    <w:rsid w:val="00B96675"/>
    <w:rsid w:val="00B9701D"/>
    <w:rsid w:val="00B97951"/>
    <w:rsid w:val="00B979C4"/>
    <w:rsid w:val="00BA13AC"/>
    <w:rsid w:val="00BA1B82"/>
    <w:rsid w:val="00BA2BA3"/>
    <w:rsid w:val="00BA2E00"/>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6FAF"/>
    <w:rsid w:val="00BC703C"/>
    <w:rsid w:val="00BC7301"/>
    <w:rsid w:val="00BC78BE"/>
    <w:rsid w:val="00BC7972"/>
    <w:rsid w:val="00BC7E8F"/>
    <w:rsid w:val="00BD1775"/>
    <w:rsid w:val="00BD230B"/>
    <w:rsid w:val="00BD2CAE"/>
    <w:rsid w:val="00BD3276"/>
    <w:rsid w:val="00BD3312"/>
    <w:rsid w:val="00BD436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33A8"/>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319"/>
    <w:rsid w:val="00BF4819"/>
    <w:rsid w:val="00BF50B2"/>
    <w:rsid w:val="00BF55CF"/>
    <w:rsid w:val="00BF59C8"/>
    <w:rsid w:val="00BF5B48"/>
    <w:rsid w:val="00BF624A"/>
    <w:rsid w:val="00BF63A6"/>
    <w:rsid w:val="00BF65AC"/>
    <w:rsid w:val="00BF69DA"/>
    <w:rsid w:val="00BF71EB"/>
    <w:rsid w:val="00BF7B20"/>
    <w:rsid w:val="00C01E35"/>
    <w:rsid w:val="00C0239E"/>
    <w:rsid w:val="00C028ED"/>
    <w:rsid w:val="00C02E12"/>
    <w:rsid w:val="00C04939"/>
    <w:rsid w:val="00C04A14"/>
    <w:rsid w:val="00C05727"/>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6A7"/>
    <w:rsid w:val="00C23B73"/>
    <w:rsid w:val="00C23CDC"/>
    <w:rsid w:val="00C24420"/>
    <w:rsid w:val="00C244E2"/>
    <w:rsid w:val="00C25FE2"/>
    <w:rsid w:val="00C27417"/>
    <w:rsid w:val="00C274E4"/>
    <w:rsid w:val="00C2769F"/>
    <w:rsid w:val="00C27A64"/>
    <w:rsid w:val="00C27D6E"/>
    <w:rsid w:val="00C30934"/>
    <w:rsid w:val="00C31093"/>
    <w:rsid w:val="00C3168E"/>
    <w:rsid w:val="00C31F15"/>
    <w:rsid w:val="00C3244F"/>
    <w:rsid w:val="00C32C1C"/>
    <w:rsid w:val="00C32F49"/>
    <w:rsid w:val="00C33C59"/>
    <w:rsid w:val="00C34546"/>
    <w:rsid w:val="00C349FF"/>
    <w:rsid w:val="00C357EF"/>
    <w:rsid w:val="00C37CCC"/>
    <w:rsid w:val="00C404B7"/>
    <w:rsid w:val="00C405EF"/>
    <w:rsid w:val="00C4092F"/>
    <w:rsid w:val="00C4130D"/>
    <w:rsid w:val="00C41316"/>
    <w:rsid w:val="00C416FF"/>
    <w:rsid w:val="00C42FA2"/>
    <w:rsid w:val="00C431CC"/>
    <w:rsid w:val="00C437F3"/>
    <w:rsid w:val="00C443BE"/>
    <w:rsid w:val="00C4554D"/>
    <w:rsid w:val="00C456D5"/>
    <w:rsid w:val="00C45860"/>
    <w:rsid w:val="00C46713"/>
    <w:rsid w:val="00C46BF3"/>
    <w:rsid w:val="00C46E87"/>
    <w:rsid w:val="00C50299"/>
    <w:rsid w:val="00C5057D"/>
    <w:rsid w:val="00C50907"/>
    <w:rsid w:val="00C50B83"/>
    <w:rsid w:val="00C51637"/>
    <w:rsid w:val="00C52477"/>
    <w:rsid w:val="00C532EE"/>
    <w:rsid w:val="00C5373A"/>
    <w:rsid w:val="00C53B94"/>
    <w:rsid w:val="00C53D84"/>
    <w:rsid w:val="00C5406E"/>
    <w:rsid w:val="00C54909"/>
    <w:rsid w:val="00C54D33"/>
    <w:rsid w:val="00C5537D"/>
    <w:rsid w:val="00C5547F"/>
    <w:rsid w:val="00C568E1"/>
    <w:rsid w:val="00C56A05"/>
    <w:rsid w:val="00C56F78"/>
    <w:rsid w:val="00C57085"/>
    <w:rsid w:val="00C6078F"/>
    <w:rsid w:val="00C6082C"/>
    <w:rsid w:val="00C60860"/>
    <w:rsid w:val="00C60AF5"/>
    <w:rsid w:val="00C61AEA"/>
    <w:rsid w:val="00C61F0E"/>
    <w:rsid w:val="00C61FED"/>
    <w:rsid w:val="00C62131"/>
    <w:rsid w:val="00C627B2"/>
    <w:rsid w:val="00C62AD0"/>
    <w:rsid w:val="00C62CD1"/>
    <w:rsid w:val="00C62F59"/>
    <w:rsid w:val="00C63039"/>
    <w:rsid w:val="00C63706"/>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778ED"/>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B3C"/>
    <w:rsid w:val="00CA3E7F"/>
    <w:rsid w:val="00CA5C32"/>
    <w:rsid w:val="00CA66AA"/>
    <w:rsid w:val="00CA676D"/>
    <w:rsid w:val="00CA759D"/>
    <w:rsid w:val="00CA7CC1"/>
    <w:rsid w:val="00CA7D03"/>
    <w:rsid w:val="00CB02BA"/>
    <w:rsid w:val="00CB075A"/>
    <w:rsid w:val="00CB14EE"/>
    <w:rsid w:val="00CB152B"/>
    <w:rsid w:val="00CB204A"/>
    <w:rsid w:val="00CB2659"/>
    <w:rsid w:val="00CB31D3"/>
    <w:rsid w:val="00CB37C6"/>
    <w:rsid w:val="00CB3F2F"/>
    <w:rsid w:val="00CB41C9"/>
    <w:rsid w:val="00CB5075"/>
    <w:rsid w:val="00CB5589"/>
    <w:rsid w:val="00CB5F11"/>
    <w:rsid w:val="00CB6282"/>
    <w:rsid w:val="00CB68A8"/>
    <w:rsid w:val="00CB6E15"/>
    <w:rsid w:val="00CB7037"/>
    <w:rsid w:val="00CB7174"/>
    <w:rsid w:val="00CB7551"/>
    <w:rsid w:val="00CB7653"/>
    <w:rsid w:val="00CB78A2"/>
    <w:rsid w:val="00CB78E3"/>
    <w:rsid w:val="00CB7BA5"/>
    <w:rsid w:val="00CC0117"/>
    <w:rsid w:val="00CC0837"/>
    <w:rsid w:val="00CC1081"/>
    <w:rsid w:val="00CC2121"/>
    <w:rsid w:val="00CC2DB9"/>
    <w:rsid w:val="00CC3087"/>
    <w:rsid w:val="00CC3BD8"/>
    <w:rsid w:val="00CC449E"/>
    <w:rsid w:val="00CC4730"/>
    <w:rsid w:val="00CC4815"/>
    <w:rsid w:val="00CC51AF"/>
    <w:rsid w:val="00CC5916"/>
    <w:rsid w:val="00CC6BB0"/>
    <w:rsid w:val="00CC6C1A"/>
    <w:rsid w:val="00CD04E4"/>
    <w:rsid w:val="00CD1A15"/>
    <w:rsid w:val="00CD202F"/>
    <w:rsid w:val="00CD30A0"/>
    <w:rsid w:val="00CD3202"/>
    <w:rsid w:val="00CD3852"/>
    <w:rsid w:val="00CD46DC"/>
    <w:rsid w:val="00CD523E"/>
    <w:rsid w:val="00CD61CA"/>
    <w:rsid w:val="00CD7338"/>
    <w:rsid w:val="00CD7A14"/>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D85"/>
    <w:rsid w:val="00D55411"/>
    <w:rsid w:val="00D55468"/>
    <w:rsid w:val="00D554D7"/>
    <w:rsid w:val="00D5629D"/>
    <w:rsid w:val="00D563B8"/>
    <w:rsid w:val="00D56700"/>
    <w:rsid w:val="00D56D76"/>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2E3"/>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166"/>
    <w:rsid w:val="00DC58D2"/>
    <w:rsid w:val="00DC68C2"/>
    <w:rsid w:val="00DC6FAD"/>
    <w:rsid w:val="00DC7169"/>
    <w:rsid w:val="00DC7EA9"/>
    <w:rsid w:val="00DD0C8C"/>
    <w:rsid w:val="00DD20EA"/>
    <w:rsid w:val="00DD2448"/>
    <w:rsid w:val="00DD2624"/>
    <w:rsid w:val="00DD3315"/>
    <w:rsid w:val="00DD3461"/>
    <w:rsid w:val="00DD346A"/>
    <w:rsid w:val="00DD3611"/>
    <w:rsid w:val="00DD3AB5"/>
    <w:rsid w:val="00DD4A5C"/>
    <w:rsid w:val="00DD4D26"/>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E23"/>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6E59"/>
    <w:rsid w:val="00E174BC"/>
    <w:rsid w:val="00E17913"/>
    <w:rsid w:val="00E208A6"/>
    <w:rsid w:val="00E208D5"/>
    <w:rsid w:val="00E20CA0"/>
    <w:rsid w:val="00E210BB"/>
    <w:rsid w:val="00E21C9B"/>
    <w:rsid w:val="00E22680"/>
    <w:rsid w:val="00E22E3B"/>
    <w:rsid w:val="00E233E7"/>
    <w:rsid w:val="00E24002"/>
    <w:rsid w:val="00E24E39"/>
    <w:rsid w:val="00E254C6"/>
    <w:rsid w:val="00E25502"/>
    <w:rsid w:val="00E256C5"/>
    <w:rsid w:val="00E25A8E"/>
    <w:rsid w:val="00E26304"/>
    <w:rsid w:val="00E263D6"/>
    <w:rsid w:val="00E26599"/>
    <w:rsid w:val="00E2728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36E23"/>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527"/>
    <w:rsid w:val="00E568AE"/>
    <w:rsid w:val="00E578BC"/>
    <w:rsid w:val="00E5799A"/>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60C5"/>
    <w:rsid w:val="00E66607"/>
    <w:rsid w:val="00E66720"/>
    <w:rsid w:val="00E66D2E"/>
    <w:rsid w:val="00E676BC"/>
    <w:rsid w:val="00E6788F"/>
    <w:rsid w:val="00E678C7"/>
    <w:rsid w:val="00E67B6D"/>
    <w:rsid w:val="00E705F4"/>
    <w:rsid w:val="00E71454"/>
    <w:rsid w:val="00E71BA6"/>
    <w:rsid w:val="00E71CC3"/>
    <w:rsid w:val="00E72254"/>
    <w:rsid w:val="00E736A9"/>
    <w:rsid w:val="00E73E45"/>
    <w:rsid w:val="00E740FA"/>
    <w:rsid w:val="00E742C4"/>
    <w:rsid w:val="00E74DA9"/>
    <w:rsid w:val="00E74E5F"/>
    <w:rsid w:val="00E75184"/>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BE0"/>
    <w:rsid w:val="00E93F13"/>
    <w:rsid w:val="00E9441C"/>
    <w:rsid w:val="00E946B4"/>
    <w:rsid w:val="00E948B5"/>
    <w:rsid w:val="00E95523"/>
    <w:rsid w:val="00E95B86"/>
    <w:rsid w:val="00E95ECB"/>
    <w:rsid w:val="00E95F91"/>
    <w:rsid w:val="00E964EA"/>
    <w:rsid w:val="00E97299"/>
    <w:rsid w:val="00E9753F"/>
    <w:rsid w:val="00E97596"/>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594"/>
    <w:rsid w:val="00ED0D49"/>
    <w:rsid w:val="00ED0F81"/>
    <w:rsid w:val="00ED187D"/>
    <w:rsid w:val="00ED2126"/>
    <w:rsid w:val="00ED233D"/>
    <w:rsid w:val="00ED2887"/>
    <w:rsid w:val="00ED31CC"/>
    <w:rsid w:val="00ED3503"/>
    <w:rsid w:val="00ED36F7"/>
    <w:rsid w:val="00ED44A0"/>
    <w:rsid w:val="00ED464F"/>
    <w:rsid w:val="00ED46E9"/>
    <w:rsid w:val="00ED4A09"/>
    <w:rsid w:val="00ED4BBB"/>
    <w:rsid w:val="00ED52C4"/>
    <w:rsid w:val="00ED59B1"/>
    <w:rsid w:val="00ED5C93"/>
    <w:rsid w:val="00ED75C9"/>
    <w:rsid w:val="00ED78E5"/>
    <w:rsid w:val="00EE0926"/>
    <w:rsid w:val="00EE0BAE"/>
    <w:rsid w:val="00EE0BC6"/>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4"/>
    <w:rsid w:val="00F2469D"/>
    <w:rsid w:val="00F24830"/>
    <w:rsid w:val="00F25118"/>
    <w:rsid w:val="00F2594C"/>
    <w:rsid w:val="00F25D45"/>
    <w:rsid w:val="00F25D4E"/>
    <w:rsid w:val="00F25E9D"/>
    <w:rsid w:val="00F25F2D"/>
    <w:rsid w:val="00F264CD"/>
    <w:rsid w:val="00F26DBE"/>
    <w:rsid w:val="00F276C1"/>
    <w:rsid w:val="00F27938"/>
    <w:rsid w:val="00F27CD9"/>
    <w:rsid w:val="00F27DDE"/>
    <w:rsid w:val="00F319BF"/>
    <w:rsid w:val="00F3219D"/>
    <w:rsid w:val="00F322A0"/>
    <w:rsid w:val="00F323BE"/>
    <w:rsid w:val="00F33102"/>
    <w:rsid w:val="00F35125"/>
    <w:rsid w:val="00F35404"/>
    <w:rsid w:val="00F3570C"/>
    <w:rsid w:val="00F359DD"/>
    <w:rsid w:val="00F35A8A"/>
    <w:rsid w:val="00F366E3"/>
    <w:rsid w:val="00F36830"/>
    <w:rsid w:val="00F370F7"/>
    <w:rsid w:val="00F37433"/>
    <w:rsid w:val="00F37712"/>
    <w:rsid w:val="00F3773A"/>
    <w:rsid w:val="00F37892"/>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2C9"/>
    <w:rsid w:val="00F5141C"/>
    <w:rsid w:val="00F51454"/>
    <w:rsid w:val="00F5154D"/>
    <w:rsid w:val="00F51C43"/>
    <w:rsid w:val="00F5223A"/>
    <w:rsid w:val="00F5235B"/>
    <w:rsid w:val="00F525A9"/>
    <w:rsid w:val="00F525F4"/>
    <w:rsid w:val="00F536D8"/>
    <w:rsid w:val="00F53AB3"/>
    <w:rsid w:val="00F54A08"/>
    <w:rsid w:val="00F54DB3"/>
    <w:rsid w:val="00F55F8E"/>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BFC"/>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B02"/>
    <w:rsid w:val="00F90FD7"/>
    <w:rsid w:val="00F91839"/>
    <w:rsid w:val="00F92055"/>
    <w:rsid w:val="00F92811"/>
    <w:rsid w:val="00F9376B"/>
    <w:rsid w:val="00F9381D"/>
    <w:rsid w:val="00F938E7"/>
    <w:rsid w:val="00F93CA9"/>
    <w:rsid w:val="00F94264"/>
    <w:rsid w:val="00F94597"/>
    <w:rsid w:val="00F95100"/>
    <w:rsid w:val="00F954BF"/>
    <w:rsid w:val="00F960BC"/>
    <w:rsid w:val="00F96471"/>
    <w:rsid w:val="00F97505"/>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410D"/>
    <w:rsid w:val="00FB43E4"/>
    <w:rsid w:val="00FB4434"/>
    <w:rsid w:val="00FB4BC8"/>
    <w:rsid w:val="00FB51AA"/>
    <w:rsid w:val="00FB531B"/>
    <w:rsid w:val="00FB57BB"/>
    <w:rsid w:val="00FB5A67"/>
    <w:rsid w:val="00FB5E74"/>
    <w:rsid w:val="00FB73DA"/>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ABD"/>
    <w:rsid w:val="00FE43A5"/>
    <w:rsid w:val="00FE46EF"/>
    <w:rsid w:val="00FE4826"/>
    <w:rsid w:val="00FE6F5A"/>
    <w:rsid w:val="00FE7385"/>
    <w:rsid w:val="00FE73A6"/>
    <w:rsid w:val="00FE765F"/>
    <w:rsid w:val="00FF00B3"/>
    <w:rsid w:val="00FF09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i.government.bg/bg/themes/inovacionna-strategiya-za-inteligentna-specializaciya-na-republika-balgariya-2014-2020-g-i-proces-na-i-1470-0.html" TargetMode="External"/><Relationship Id="rId4" Type="http://schemas.microsoft.com/office/2007/relationships/stylesWithEffects" Target="stylesWithEffects.xml"/><Relationship Id="rId9" Type="http://schemas.openxmlformats.org/officeDocument/2006/relationships/hyperlink" Target="http://www.opcompetitiveness.bg/module3.php?menu_id=35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279BB-7A2B-478C-B072-6A5AABA11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18022</Words>
  <Characters>102730</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2015-11-24T15:24:00Z</dcterms:created>
  <dcterms:modified xsi:type="dcterms:W3CDTF">2016-02-04T15:50:00Z</dcterms:modified>
</cp:coreProperties>
</file>